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jc w:val="center"/>
        <w:rPr>
          <w:rFonts w:hint="eastAsia" w:ascii="方正小标宋简体" w:hAnsi="方正小标宋简体" w:eastAsia="方正小标宋简体" w:cs="方正小标宋简体"/>
          <w:sz w:val="52"/>
          <w:szCs w:val="52"/>
          <w:lang w:val="en-US" w:eastAsia="zh-CN"/>
        </w:rPr>
      </w:pPr>
      <w:bookmarkStart w:id="39" w:name="_GoBack"/>
      <w:bookmarkEnd w:id="39"/>
      <w:r>
        <w:rPr>
          <w:rFonts w:hint="eastAsia" w:ascii="方正小标宋简体" w:hAnsi="方正小标宋简体" w:eastAsia="方正小标宋简体" w:cs="方正小标宋简体"/>
          <w:sz w:val="52"/>
          <w:szCs w:val="52"/>
          <w:lang w:val="en-US" w:eastAsia="zh-CN"/>
        </w:rPr>
        <w:t>2022年中国城市建设状况公报</w:t>
      </w:r>
    </w:p>
    <w:p>
      <w:pPr>
        <w:numPr>
          <w:ilvl w:val="0"/>
          <w:numId w:val="0"/>
        </w:numPr>
        <w:jc w:val="center"/>
        <w:rPr>
          <w:rFonts w:hint="eastAsia" w:ascii="仿宋_GB2312" w:hAnsi="仿宋_GB2312" w:eastAsia="仿宋_GB2312" w:cs="仿宋_GB2312"/>
          <w:b w:val="0"/>
          <w:bCs w:val="0"/>
          <w:sz w:val="36"/>
          <w:szCs w:val="36"/>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住房城乡建设部</w:t>
      </w: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目录</w:t>
      </w:r>
    </w:p>
    <w:sdt>
      <w:sdtPr>
        <w:rPr>
          <w:rFonts w:ascii="宋体" w:hAnsi="宋体" w:eastAsia="宋体" w:cstheme="minorBidi"/>
          <w:kern w:val="2"/>
          <w:sz w:val="21"/>
          <w:szCs w:val="24"/>
          <w:lang w:val="en-US" w:eastAsia="zh-CN" w:bidi="ar-SA"/>
        </w:rPr>
        <w:id w:val="147451981"/>
        <w15:color w:val="DBDBDB"/>
        <w:docPartObj>
          <w:docPartGallery w:val="Table of Contents"/>
          <w:docPartUnique/>
        </w:docPartObj>
      </w:sdtPr>
      <w:sdtEndPr>
        <w:rPr>
          <w:rFonts w:hint="eastAsia" w:ascii="宋体" w:hAnsi="宋体" w:eastAsia="宋体" w:cs="宋体"/>
          <w:b/>
          <w:kern w:val="2"/>
          <w:sz w:val="24"/>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TOC \o "1-2" \h \u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_Toc14792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概述</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_Toc14792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1</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_Toc28357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highlight w:val="none"/>
              <w:lang w:val="en-US" w:eastAsia="zh-CN"/>
            </w:rPr>
            <w:t>一、城市基本情况</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_Toc28357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3</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_Toc14788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（一）城市建成区面积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_Toc14788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3</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_Toc6032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（二）城市城区人口</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_Toc6032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4</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_Toc3008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二、市政设施固定资产投资</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_Toc3008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5</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_Toc26793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（一）固定资产投资额</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_Toc26793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5</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_Toc16118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（二）资金来源</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_Toc16118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6</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_Toc26788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三、城市居民生活方面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_Toc26788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8</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_Toc19148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（一）城市供水</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_Toc19148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8</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_Toc6124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（二）城市燃气</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_Toc6124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10</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_Toc25138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（三）城市集中供热</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_Toc25138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14</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_Toc2333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四、城市居民出行方面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_Toc2333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16</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_Toc29466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（一）城市轨道交通</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_Toc29466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16</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_Toc2328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（二）城市道路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_Toc2328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17</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_Toc15022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五、城市环境卫生方面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_Toc15022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19</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_Toc15596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（一）城市污水处理</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_Toc15596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19</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_Toc23592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（二）城市生活垃圾处理</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_Toc23592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21</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5"/>
            <w:tabs>
              <w:tab w:val="right" w:leader="dot" w:pos="8306"/>
            </w:tabs>
            <w:spacing w:line="360" w:lineRule="auto"/>
            <w:rPr>
              <w:rFonts w:hint="default" w:ascii="Times New Roman" w:hAnsi="Times New Roman" w:eastAsia="黑体" w:cs="Times New Roman"/>
              <w:sz w:val="24"/>
            </w:rPr>
          </w:pPr>
          <w:r>
            <w:rPr>
              <w:rFonts w:hint="default" w:ascii="Times New Roman" w:hAnsi="Times New Roman" w:eastAsia="黑体" w:cs="Times New Roman"/>
              <w:bCs w:val="0"/>
              <w:sz w:val="24"/>
              <w:szCs w:val="24"/>
              <w:lang w:val="en-US" w:eastAsia="zh-CN"/>
            </w:rPr>
            <w:fldChar w:fldCharType="begin"/>
          </w:r>
          <w:r>
            <w:rPr>
              <w:rFonts w:hint="default" w:ascii="Times New Roman" w:hAnsi="Times New Roman" w:eastAsia="黑体" w:cs="Times New Roman"/>
              <w:bCs w:val="0"/>
              <w:sz w:val="24"/>
              <w:szCs w:val="24"/>
              <w:lang w:val="en-US" w:eastAsia="zh-CN"/>
            </w:rPr>
            <w:instrText xml:space="preserve"> HYPERLINK \l _Toc3010 </w:instrText>
          </w:r>
          <w:r>
            <w:rPr>
              <w:rFonts w:hint="default" w:ascii="Times New Roman" w:hAnsi="Times New Roman" w:eastAsia="黑体" w:cs="Times New Roman"/>
              <w:bCs w:val="0"/>
              <w:sz w:val="24"/>
              <w:szCs w:val="24"/>
              <w:lang w:val="en-US" w:eastAsia="zh-CN"/>
            </w:rPr>
            <w:fldChar w:fldCharType="separate"/>
          </w:r>
          <w:r>
            <w:rPr>
              <w:rFonts w:hint="default" w:ascii="Times New Roman" w:hAnsi="Times New Roman" w:eastAsia="黑体" w:cs="Times New Roman"/>
              <w:sz w:val="24"/>
              <w:szCs w:val="24"/>
              <w:lang w:val="en-US" w:eastAsia="zh-CN"/>
            </w:rPr>
            <w:t>六、城市绿色生态方面</w:t>
          </w:r>
          <w:r>
            <w:rPr>
              <w:rFonts w:hint="default" w:ascii="Times New Roman" w:hAnsi="Times New Roman" w:eastAsia="黑体" w:cs="Times New Roman"/>
              <w:sz w:val="24"/>
            </w:rPr>
            <w:tab/>
          </w:r>
          <w:r>
            <w:rPr>
              <w:rFonts w:hint="default" w:ascii="Times New Roman" w:hAnsi="Times New Roman" w:eastAsia="黑体" w:cs="Times New Roman"/>
              <w:sz w:val="24"/>
            </w:rPr>
            <w:fldChar w:fldCharType="begin"/>
          </w:r>
          <w:r>
            <w:rPr>
              <w:rFonts w:hint="default" w:ascii="Times New Roman" w:hAnsi="Times New Roman" w:eastAsia="黑体" w:cs="Times New Roman"/>
              <w:sz w:val="24"/>
            </w:rPr>
            <w:instrText xml:space="preserve"> PAGEREF _Toc3010 \h </w:instrText>
          </w:r>
          <w:r>
            <w:rPr>
              <w:rFonts w:hint="default" w:ascii="Times New Roman" w:hAnsi="Times New Roman" w:eastAsia="黑体" w:cs="Times New Roman"/>
              <w:sz w:val="24"/>
            </w:rPr>
            <w:fldChar w:fldCharType="separate"/>
          </w:r>
          <w:r>
            <w:rPr>
              <w:rFonts w:hint="default" w:ascii="Times New Roman" w:hAnsi="Times New Roman" w:eastAsia="黑体" w:cs="Times New Roman"/>
              <w:sz w:val="24"/>
            </w:rPr>
            <w:t>22</w:t>
          </w:r>
          <w:r>
            <w:rPr>
              <w:rFonts w:hint="default" w:ascii="Times New Roman" w:hAnsi="Times New Roman" w:eastAsia="黑体" w:cs="Times New Roman"/>
              <w:sz w:val="24"/>
            </w:rPr>
            <w:fldChar w:fldCharType="end"/>
          </w:r>
          <w:r>
            <w:rPr>
              <w:rFonts w:hint="default" w:ascii="Times New Roman" w:hAnsi="Times New Roman" w:eastAsia="黑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_Toc6009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（一）城市建成区绿地面积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_Toc6009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22</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rPr>
              <w:rFonts w:hint="default" w:ascii="Times New Roman" w:hAnsi="Times New Roman" w:eastAsia="楷体" w:cs="Times New Roman"/>
              <w:sz w:val="24"/>
            </w:rPr>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_Toc7535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（二）城市建成区绿地率</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_Toc7535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23</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pStyle w:val="6"/>
            <w:tabs>
              <w:tab w:val="right" w:leader="dot" w:pos="8306"/>
            </w:tabs>
            <w:spacing w:line="360" w:lineRule="auto"/>
          </w:pPr>
          <w:r>
            <w:rPr>
              <w:rFonts w:hint="default" w:ascii="Times New Roman" w:hAnsi="Times New Roman" w:eastAsia="楷体" w:cs="Times New Roman"/>
              <w:bCs w:val="0"/>
              <w:sz w:val="24"/>
              <w:szCs w:val="24"/>
              <w:lang w:val="en-US" w:eastAsia="zh-CN"/>
            </w:rPr>
            <w:fldChar w:fldCharType="begin"/>
          </w:r>
          <w:r>
            <w:rPr>
              <w:rFonts w:hint="default" w:ascii="Times New Roman" w:hAnsi="Times New Roman" w:eastAsia="楷体" w:cs="Times New Roman"/>
              <w:bCs w:val="0"/>
              <w:sz w:val="24"/>
              <w:szCs w:val="24"/>
              <w:lang w:val="en-US" w:eastAsia="zh-CN"/>
            </w:rPr>
            <w:instrText xml:space="preserve"> HYPERLINK \l _Toc26153 </w:instrText>
          </w:r>
          <w:r>
            <w:rPr>
              <w:rFonts w:hint="default" w:ascii="Times New Roman" w:hAnsi="Times New Roman" w:eastAsia="楷体" w:cs="Times New Roman"/>
              <w:bCs w:val="0"/>
              <w:sz w:val="24"/>
              <w:szCs w:val="24"/>
              <w:lang w:val="en-US" w:eastAsia="zh-CN"/>
            </w:rPr>
            <w:fldChar w:fldCharType="separate"/>
          </w:r>
          <w:r>
            <w:rPr>
              <w:rFonts w:hint="default" w:ascii="Times New Roman" w:hAnsi="Times New Roman" w:eastAsia="楷体" w:cs="Times New Roman"/>
              <w:sz w:val="24"/>
              <w:szCs w:val="24"/>
              <w:lang w:val="en-US" w:eastAsia="zh-CN"/>
            </w:rPr>
            <w:t>（三）城市人均公园绿地面积</w:t>
          </w:r>
          <w:r>
            <w:rPr>
              <w:rFonts w:hint="default" w:ascii="Times New Roman" w:hAnsi="Times New Roman" w:eastAsia="楷体" w:cs="Times New Roman"/>
              <w:sz w:val="24"/>
            </w:rPr>
            <w:tab/>
          </w:r>
          <w:r>
            <w:rPr>
              <w:rFonts w:hint="default" w:ascii="Times New Roman" w:hAnsi="Times New Roman" w:eastAsia="楷体" w:cs="Times New Roman"/>
              <w:sz w:val="24"/>
            </w:rPr>
            <w:fldChar w:fldCharType="begin"/>
          </w:r>
          <w:r>
            <w:rPr>
              <w:rFonts w:hint="default" w:ascii="Times New Roman" w:hAnsi="Times New Roman" w:eastAsia="楷体" w:cs="Times New Roman"/>
              <w:sz w:val="24"/>
            </w:rPr>
            <w:instrText xml:space="preserve"> PAGEREF _Toc26153 \h </w:instrText>
          </w:r>
          <w:r>
            <w:rPr>
              <w:rFonts w:hint="default" w:ascii="Times New Roman" w:hAnsi="Times New Roman" w:eastAsia="楷体" w:cs="Times New Roman"/>
              <w:sz w:val="24"/>
            </w:rPr>
            <w:fldChar w:fldCharType="separate"/>
          </w:r>
          <w:r>
            <w:rPr>
              <w:rFonts w:hint="default" w:ascii="Times New Roman" w:hAnsi="Times New Roman" w:eastAsia="楷体" w:cs="Times New Roman"/>
              <w:sz w:val="24"/>
            </w:rPr>
            <w:t>24</w:t>
          </w:r>
          <w:r>
            <w:rPr>
              <w:rFonts w:hint="default" w:ascii="Times New Roman" w:hAnsi="Times New Roman" w:eastAsia="楷体" w:cs="Times New Roman"/>
              <w:sz w:val="24"/>
            </w:rPr>
            <w:fldChar w:fldCharType="end"/>
          </w:r>
          <w:r>
            <w:rPr>
              <w:rFonts w:hint="default" w:ascii="Times New Roman" w:hAnsi="Times New Roman" w:eastAsia="楷体" w:cs="Times New Roman"/>
              <w:bCs w:val="0"/>
              <w:sz w:val="24"/>
              <w:szCs w:val="24"/>
              <w:lang w:val="en-US" w:eastAsia="zh-CN"/>
            </w:rPr>
            <w:fldChar w:fldCharType="end"/>
          </w:r>
        </w:p>
        <w:p>
          <w:pPr>
            <w:numPr>
              <w:ilvl w:val="0"/>
              <w:numId w:val="0"/>
            </w:numPr>
            <w:rPr>
              <w:rFonts w:hint="eastAsia" w:ascii="宋体" w:hAnsi="宋体" w:eastAsia="宋体" w:cs="宋体"/>
              <w:sz w:val="24"/>
              <w:szCs w:val="24"/>
              <w:lang w:val="en-US" w:eastAsia="zh-CN"/>
            </w:rPr>
          </w:pPr>
          <w:r>
            <w:rPr>
              <w:rFonts w:hint="default" w:ascii="Times New Roman" w:hAnsi="Times New Roman" w:eastAsia="楷体" w:cs="Times New Roman"/>
              <w:b w:val="0"/>
              <w:bCs w:val="0"/>
              <w:sz w:val="24"/>
              <w:szCs w:val="24"/>
              <w:lang w:val="en-US" w:eastAsia="zh-CN"/>
            </w:rPr>
            <w:fldChar w:fldCharType="end"/>
          </w:r>
        </w:p>
      </w:sdtContent>
    </w:sdt>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lang w:val="en-US" w:eastAsia="zh-CN"/>
        </w:rPr>
      </w:pPr>
      <w:bookmarkStart w:id="0" w:name="_Toc14792"/>
      <w:bookmarkStart w:id="1" w:name="_Toc12428"/>
      <w:r>
        <w:rPr>
          <w:rFonts w:hint="eastAsia" w:ascii="黑体" w:hAnsi="黑体" w:eastAsia="黑体" w:cs="黑体"/>
          <w:sz w:val="32"/>
          <w:szCs w:val="32"/>
          <w:lang w:val="en-US" w:eastAsia="zh-CN"/>
        </w:rPr>
        <w:t>概述</w:t>
      </w:r>
      <w:bookmarkEnd w:id="0"/>
      <w:bookmarkEnd w:id="1"/>
    </w:p>
    <w:p>
      <w:pPr>
        <w:pStyle w:val="2"/>
        <w:spacing w:line="360" w:lineRule="auto"/>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城市（县城）和村镇建设统计调查制度》有关规定，住房城乡建设部组织开展了2022年全国城市和县城建设统计调查，统计调查的标准时点为2022年12月31日，时期为2022年。本公报统计调查对象为设市城市的规划、建设、管理和经营城市市政公用设施的各级住房城乡建设管理部门、法人单位、产业活动单位。本次统计调查由住房城乡建设部统一组织，分级实施，由各级城乡建设统计主管部门负责本辖区内数据的审核、汇总和上报。</w:t>
      </w:r>
    </w:p>
    <w:p>
      <w:pPr>
        <w:numPr>
          <w:ilvl w:val="0"/>
          <w:numId w:val="0"/>
        </w:numPr>
        <w:ind w:firstLine="640" w:firstLineChars="200"/>
        <w:rPr>
          <w:rFonts w:hint="default" w:ascii="黑体" w:hAnsi="黑体" w:eastAsia="黑体" w:cs="黑体"/>
          <w:sz w:val="32"/>
          <w:szCs w:val="32"/>
          <w:lang w:val="en-US" w:eastAsia="zh-CN"/>
        </w:rPr>
      </w:pPr>
      <w:r>
        <w:rPr>
          <w:rFonts w:hint="eastAsia" w:ascii="楷体" w:hAnsi="楷体" w:eastAsia="楷体" w:cs="楷体"/>
          <w:sz w:val="32"/>
          <w:szCs w:val="32"/>
          <w:lang w:val="en-US" w:eastAsia="zh-CN"/>
        </w:rPr>
        <w:t>城市基本情况方面，</w:t>
      </w:r>
      <w:r>
        <w:rPr>
          <w:rFonts w:hint="eastAsia" w:ascii="仿宋_GB2312" w:hAnsi="仿宋_GB2312" w:eastAsia="仿宋_GB2312" w:cs="仿宋_GB2312"/>
          <w:sz w:val="32"/>
          <w:szCs w:val="40"/>
          <w:u w:val="none"/>
          <w:lang w:val="en-US" w:eastAsia="zh-CN"/>
        </w:rPr>
        <w:t>2022年年末，全国城市建成区面积6.37万平方公里，同比增长2.01%；全国城市城区人口5.65亿人，同比增长1.00%。</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市政设施固定资产投资方面，</w:t>
      </w:r>
      <w:r>
        <w:rPr>
          <w:rFonts w:hint="eastAsia" w:ascii="仿宋_GB2312" w:hAnsi="仿宋_GB2312" w:eastAsia="仿宋_GB2312" w:cs="仿宋_GB2312"/>
          <w:sz w:val="32"/>
          <w:szCs w:val="40"/>
          <w:u w:val="none"/>
          <w:lang w:val="en-US" w:eastAsia="zh-CN"/>
        </w:rPr>
        <w:t>2022年，全国</w:t>
      </w:r>
      <w:r>
        <w:rPr>
          <w:rFonts w:hint="eastAsia" w:ascii="仿宋_GB2312" w:hAnsi="仿宋_GB2312" w:eastAsia="仿宋_GB2312" w:cs="仿宋_GB2312"/>
          <w:color w:val="000000" w:themeColor="text1"/>
          <w:sz w:val="32"/>
          <w:szCs w:val="40"/>
          <w14:textFill>
            <w14:solidFill>
              <w14:schemeClr w14:val="tx1"/>
            </w14:solidFill>
          </w14:textFill>
        </w:rPr>
        <w:t>市政设施固定资产投资2.</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66</w:t>
      </w:r>
      <w:r>
        <w:rPr>
          <w:rFonts w:hint="eastAsia" w:ascii="仿宋_GB2312" w:hAnsi="仿宋_GB2312" w:eastAsia="仿宋_GB2312" w:cs="仿宋_GB2312"/>
          <w:color w:val="000000" w:themeColor="text1"/>
          <w:sz w:val="32"/>
          <w:szCs w:val="40"/>
          <w14:textFill>
            <w14:solidFill>
              <w14:schemeClr w14:val="tx1"/>
            </w14:solidFill>
          </w14:textFill>
        </w:rPr>
        <w:t>万亿元，同比</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下降3.13</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sz w:val="32"/>
          <w:szCs w:val="40"/>
          <w:u w:val="none"/>
          <w:lang w:val="en-US" w:eastAsia="zh-CN"/>
        </w:rPr>
        <w:t>全国市政设施实际到位资金合计2.67万亿元，同比下降12.91%。</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楷体" w:hAnsi="楷体" w:eastAsia="楷体" w:cs="楷体"/>
          <w:sz w:val="32"/>
          <w:szCs w:val="32"/>
          <w:lang w:val="en-US" w:eastAsia="zh-CN"/>
        </w:rPr>
        <w:t>城市居民生活方面，</w:t>
      </w:r>
      <w:r>
        <w:rPr>
          <w:rFonts w:hint="eastAsia" w:ascii="仿宋_GB2312" w:hAnsi="仿宋_GB2312" w:eastAsia="仿宋_GB2312" w:cs="仿宋_GB2312"/>
          <w:sz w:val="32"/>
          <w:szCs w:val="40"/>
          <w:u w:val="none"/>
          <w:lang w:val="en-US" w:eastAsia="zh-CN"/>
        </w:rPr>
        <w:t>2022年，全国城市人均日生活用水量184.73升，比上年减少0.30升；供水普及率99.39%，比上年增加0.01个百分点。燃气普及率98.06%，比上年增加0.02个百分点；管道燃气普及率81.54%，比上年增加1.70个百分点。集中供热面积111.25亿平方米，同比增长4.92%。</w:t>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楷体" w:hAnsi="楷体" w:eastAsia="楷体" w:cs="楷体"/>
          <w:sz w:val="32"/>
          <w:szCs w:val="32"/>
          <w:lang w:val="en-US" w:eastAsia="zh-CN"/>
        </w:rPr>
        <w:t>城市居民出行方面，</w:t>
      </w:r>
      <w:r>
        <w:rPr>
          <w:rFonts w:hint="eastAsia" w:ascii="仿宋_GB2312" w:hAnsi="仿宋_GB2312" w:eastAsia="仿宋_GB2312" w:cs="仿宋_GB2312"/>
          <w:sz w:val="32"/>
          <w:szCs w:val="40"/>
          <w:u w:val="none"/>
          <w:lang w:val="en-US" w:eastAsia="zh-CN"/>
        </w:rPr>
        <w:t>2022年年末，全国城市已建成轨道交通9575.01公里，同比增长11.71%；在建轨道交通4802.89公里，同比下降7.14%；道路面积108.93亿平方米，同比增长3.39%；道路长度55.22万公里，同比增长3.70%；人均道路面积19.28平方米，比上年增加0.44平方米。</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城市环境卫生方面，</w:t>
      </w:r>
      <w:r>
        <w:rPr>
          <w:rFonts w:hint="eastAsia" w:ascii="仿宋_GB2312" w:hAnsi="仿宋_GB2312" w:eastAsia="仿宋_GB2312" w:cs="仿宋_GB2312"/>
          <w:sz w:val="32"/>
          <w:szCs w:val="40"/>
          <w:u w:val="none"/>
          <w:lang w:val="en-US" w:eastAsia="zh-CN"/>
        </w:rPr>
        <w:t>2022年年末，全国城市排水管道总长度91.35万公里，同比增长4.73%；污水处理厂处理能力2.16亿立方米/日，同比增长4.04%；生活污水集中收集率70.06%，比上年增加1.47个百分点；生活垃圾无害化处理率99.90%，比上年增加0.02个百分点；生活垃圾无害化处理能力110.94万吨/日，同比增长4.95%，其中，焚烧处理能力占比为72.53%。</w:t>
      </w:r>
    </w:p>
    <w:p>
      <w:pPr>
        <w:ind w:firstLine="640" w:firstLineChars="200"/>
        <w:rPr>
          <w:rFonts w:hint="eastAsia" w:ascii="仿宋_GB2312" w:hAnsi="仿宋_GB2312" w:eastAsia="仿宋_GB2312" w:cs="仿宋_GB2312"/>
          <w:sz w:val="32"/>
          <w:szCs w:val="40"/>
          <w:u w:val="none"/>
          <w:lang w:val="en-US" w:eastAsia="zh-CN"/>
        </w:rPr>
      </w:pPr>
      <w:r>
        <w:rPr>
          <w:rFonts w:hint="eastAsia" w:ascii="楷体" w:hAnsi="楷体" w:eastAsia="楷体" w:cs="楷体"/>
          <w:sz w:val="32"/>
          <w:szCs w:val="32"/>
          <w:lang w:val="en-US" w:eastAsia="zh-CN"/>
        </w:rPr>
        <w:t>城市绿色生态方面，</w:t>
      </w:r>
      <w:r>
        <w:rPr>
          <w:rFonts w:hint="eastAsia" w:ascii="仿宋_GB2312" w:hAnsi="仿宋_GB2312" w:eastAsia="仿宋_GB2312" w:cs="仿宋_GB2312"/>
          <w:sz w:val="32"/>
          <w:szCs w:val="40"/>
          <w:u w:val="none"/>
          <w:lang w:val="en-US" w:eastAsia="zh-CN"/>
        </w:rPr>
        <w:t>2022年年末，全国城市建成区绿地面积257.97万公顷，同比增长3.50%；建成区绿地率39.29%，比上年增加0.59个百分点；人均公园绿地面积15.29平方米，比上年增加0.42平方米。</w:t>
      </w:r>
    </w:p>
    <w:p>
      <w:pPr>
        <w:ind w:firstLine="640" w:firstLineChars="200"/>
        <w:rPr>
          <w:rFonts w:hint="eastAsia" w:ascii="仿宋_GB2312" w:hAnsi="仿宋_GB2312" w:eastAsia="仿宋_GB2312" w:cs="仿宋_GB2312"/>
          <w:sz w:val="32"/>
          <w:szCs w:val="40"/>
          <w:u w:val="none"/>
          <w:lang w:val="en-US" w:eastAsia="zh-CN"/>
        </w:rPr>
      </w:pPr>
    </w:p>
    <w:p>
      <w:pPr>
        <w:numPr>
          <w:ilvl w:val="0"/>
          <w:numId w:val="0"/>
        </w:numPr>
        <w:ind w:firstLine="640" w:firstLineChars="200"/>
        <w:rPr>
          <w:rFonts w:hint="eastAsia" w:ascii="仿宋_GB2312" w:hAnsi="仿宋_GB2312" w:eastAsia="仿宋_GB2312" w:cs="仿宋_GB2312"/>
          <w:sz w:val="32"/>
          <w:szCs w:val="40"/>
          <w:u w:val="none"/>
          <w:lang w:val="en-US" w:eastAsia="zh-CN"/>
        </w:rPr>
      </w:pPr>
    </w:p>
    <w:p>
      <w:pPr>
        <w:numPr>
          <w:ilvl w:val="0"/>
          <w:numId w:val="0"/>
        </w:numPr>
        <w:ind w:firstLine="640" w:firstLineChars="200"/>
        <w:rPr>
          <w:rFonts w:hint="default" w:ascii="仿宋_GB2312" w:hAnsi="仿宋_GB2312" w:eastAsia="仿宋_GB2312" w:cs="仿宋_GB2312"/>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default" w:ascii="黑体" w:hAnsi="黑体" w:eastAsia="黑体" w:cs="黑体"/>
          <w:sz w:val="32"/>
          <w:szCs w:val="32"/>
          <w:highlight w:val="none"/>
          <w:lang w:val="en-US" w:eastAsia="zh-CN"/>
        </w:rPr>
      </w:pPr>
      <w:bookmarkStart w:id="2" w:name="_Toc28357"/>
      <w:bookmarkStart w:id="3" w:name="_Toc5455"/>
      <w:r>
        <w:rPr>
          <w:rFonts w:hint="eastAsia" w:ascii="黑体" w:hAnsi="黑体" w:eastAsia="黑体" w:cs="黑体"/>
          <w:color w:val="auto"/>
          <w:sz w:val="32"/>
          <w:szCs w:val="32"/>
          <w:highlight w:val="none"/>
          <w:lang w:val="en-US" w:eastAsia="zh-CN"/>
        </w:rPr>
        <w:t>一、城市基本情况</w:t>
      </w:r>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4" w:name="_Toc14788"/>
      <w:bookmarkStart w:id="5" w:name="_Toc12813"/>
      <w:r>
        <w:rPr>
          <w:rFonts w:hint="eastAsia" w:ascii="楷体" w:hAnsi="楷体" w:eastAsia="楷体" w:cs="楷体"/>
          <w:sz w:val="32"/>
          <w:szCs w:val="40"/>
          <w:lang w:val="en-US" w:eastAsia="zh-CN"/>
        </w:rPr>
        <w:t>（一）城市建成区面积</w:t>
      </w:r>
      <w:bookmarkEnd w:id="4"/>
      <w:bookmarkEnd w:id="5"/>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2022年年末，全国城市建成区面积6.37万平方公里，同比增长2.01%。</w:t>
      </w:r>
    </w:p>
    <w:p>
      <w:pPr>
        <w:numPr>
          <w:ilvl w:val="0"/>
          <w:numId w:val="0"/>
        </w:numPr>
        <w:ind w:firstLine="420" w:firstLineChars="200"/>
      </w:pPr>
      <w:r>
        <w:drawing>
          <wp:inline distT="0" distB="0" distL="114300" distR="114300">
            <wp:extent cx="4910455" cy="1871980"/>
            <wp:effectExtent l="0" t="0" r="0"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和山东城市建成区面积超过5000平方公里；江苏、河南、浙江、四川、湖北、辽宁、安徽、河北和湖南9个省份超过2000平方公里；福建、广西、黑龙江、江西、重庆、吉林、陕西、新疆、山西、云南、内蒙古、天津、上海和贵州14个省（区、市）超过1000平方公里；甘肃超过500平方公里；宁夏、海南、青海、西藏4个省（区）和新疆生产建设兵团（以下简称新疆兵团）不足500平方公里。</w:t>
      </w:r>
    </w:p>
    <w:p>
      <w:pPr>
        <w:numPr>
          <w:ilvl w:val="0"/>
          <w:numId w:val="0"/>
        </w:numPr>
      </w:pPr>
      <w:r>
        <w:drawing>
          <wp:inline distT="0" distB="0" distL="114300" distR="114300">
            <wp:extent cx="5335270" cy="1908175"/>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6" w:name="_Toc6032"/>
      <w:bookmarkStart w:id="7" w:name="_Toc1457"/>
      <w:r>
        <w:rPr>
          <w:rFonts w:hint="eastAsia" w:ascii="楷体" w:hAnsi="楷体" w:eastAsia="楷体" w:cs="楷体"/>
          <w:sz w:val="32"/>
          <w:szCs w:val="40"/>
          <w:lang w:val="en-US" w:eastAsia="zh-CN"/>
        </w:rPr>
        <w:t>（二）城市城区人口</w:t>
      </w:r>
      <w:bookmarkEnd w:id="6"/>
      <w:bookmarkEnd w:id="7"/>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2022年年末，全国城市城区人口5.65亿人，同比增长1.00%。</w:t>
      </w:r>
    </w:p>
    <w:p>
      <w:pPr>
        <w:numPr>
          <w:ilvl w:val="0"/>
          <w:numId w:val="0"/>
        </w:numPr>
      </w:pPr>
      <w:r>
        <w:drawing>
          <wp:inline distT="0" distB="0" distL="114300" distR="114300">
            <wp:extent cx="5216525" cy="2178050"/>
            <wp:effectExtent l="0" t="0" r="0" b="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城市城区人口超过5000万人；山东、江苏、浙江、四川、河南、上海、湖北、辽宁和河北9个省（市）超过2000万人；安徽、湖南、北京、重庆、福建、陕西、黑龙江、广西、山西、江西、吉林、天津和云南13个省（区、市）超过1000万人；内蒙古、贵州、新疆和甘肃4个省（区）超过500万人；海南、宁夏、青海、西藏4个省（区）和新疆兵团不足500万人。</w:t>
      </w:r>
    </w:p>
    <w:p>
      <w:pPr>
        <w:numPr>
          <w:ilvl w:val="0"/>
          <w:numId w:val="0"/>
        </w:numPr>
        <w:rPr>
          <w:rFonts w:hint="eastAsia"/>
          <w:lang w:val="en-US" w:eastAsia="zh-CN"/>
        </w:rPr>
      </w:pPr>
      <w:r>
        <w:drawing>
          <wp:inline distT="0" distB="0" distL="114300" distR="114300">
            <wp:extent cx="5269865" cy="2225040"/>
            <wp:effectExtent l="0" t="0" r="0" b="0"/>
            <wp:docPr id="5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default" w:ascii="黑体" w:hAnsi="黑体" w:eastAsia="黑体" w:cs="黑体"/>
          <w:sz w:val="32"/>
          <w:szCs w:val="32"/>
          <w:lang w:val="en-US" w:eastAsia="zh-CN"/>
        </w:rPr>
      </w:pPr>
      <w:bookmarkStart w:id="8" w:name="_Toc3008"/>
      <w:bookmarkStart w:id="9" w:name="_Toc11354"/>
      <w:r>
        <w:rPr>
          <w:rFonts w:hint="eastAsia" w:ascii="黑体" w:hAnsi="黑体" w:eastAsia="黑体" w:cs="黑体"/>
          <w:sz w:val="32"/>
          <w:szCs w:val="32"/>
          <w:lang w:val="en-US" w:eastAsia="zh-CN"/>
        </w:rPr>
        <w:t>二、市政设施固定资产投资</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0" w:name="_Toc26793"/>
      <w:bookmarkStart w:id="11" w:name="_Toc13838"/>
      <w:r>
        <w:rPr>
          <w:rFonts w:hint="eastAsia" w:ascii="楷体" w:hAnsi="楷体" w:eastAsia="楷体" w:cs="楷体"/>
          <w:sz w:val="32"/>
          <w:szCs w:val="40"/>
          <w:lang w:val="en-US" w:eastAsia="zh-CN"/>
        </w:rPr>
        <w:t>（一）固定资产投资额</w:t>
      </w:r>
      <w:bookmarkEnd w:id="10"/>
      <w:bookmarkEnd w:id="11"/>
    </w:p>
    <w:p>
      <w:pPr>
        <w:numPr>
          <w:ilvl w:val="0"/>
          <w:numId w:val="0"/>
        </w:numPr>
        <w:ind w:firstLine="640" w:firstLineChars="200"/>
      </w:pPr>
      <w:r>
        <w:rPr>
          <w:rFonts w:hint="eastAsia" w:ascii="仿宋_GB2312" w:hAnsi="仿宋_GB2312" w:eastAsia="仿宋_GB2312" w:cs="仿宋_GB2312"/>
          <w:sz w:val="32"/>
          <w:szCs w:val="40"/>
          <w:u w:val="none"/>
          <w:lang w:val="en-US" w:eastAsia="zh-CN"/>
        </w:rPr>
        <w:t>2022年，全国</w:t>
      </w:r>
      <w:r>
        <w:rPr>
          <w:rFonts w:hint="eastAsia" w:ascii="仿宋_GB2312" w:hAnsi="仿宋_GB2312" w:eastAsia="仿宋_GB2312" w:cs="仿宋_GB2312"/>
          <w:color w:val="000000" w:themeColor="text1"/>
          <w:sz w:val="32"/>
          <w:szCs w:val="40"/>
          <w14:textFill>
            <w14:solidFill>
              <w14:schemeClr w14:val="tx1"/>
            </w14:solidFill>
          </w14:textFill>
        </w:rPr>
        <w:t>市政设施固定资产投资2.</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66</w:t>
      </w:r>
      <w:r>
        <w:rPr>
          <w:rFonts w:hint="eastAsia" w:ascii="仿宋_GB2312" w:hAnsi="仿宋_GB2312" w:eastAsia="仿宋_GB2312" w:cs="仿宋_GB2312"/>
          <w:color w:val="000000" w:themeColor="text1"/>
          <w:sz w:val="32"/>
          <w:szCs w:val="40"/>
          <w14:textFill>
            <w14:solidFill>
              <w14:schemeClr w14:val="tx1"/>
            </w14:solidFill>
          </w14:textFill>
        </w:rPr>
        <w:t>万亿元，同比</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下降3.13</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其中，</w:t>
      </w:r>
      <w:r>
        <w:rPr>
          <w:rFonts w:hint="eastAsia" w:ascii="仿宋_GB2312" w:hAnsi="仿宋_GB2312" w:eastAsia="仿宋_GB2312" w:cs="仿宋_GB2312"/>
          <w:sz w:val="32"/>
          <w:szCs w:val="40"/>
          <w:u w:val="none"/>
          <w:lang w:val="en-US" w:eastAsia="zh-CN"/>
        </w:rPr>
        <w:t>道路桥梁占比最大，为38.4%；轨道交通、排水和园林绿化投资分别占22.7%、10.1%和6.4%；地下综合管廊占比最小，为1.3%。</w:t>
      </w:r>
    </w:p>
    <w:p>
      <w:pPr>
        <w:numPr>
          <w:ilvl w:val="0"/>
          <w:numId w:val="0"/>
        </w:numPr>
      </w:pPr>
      <w:r>
        <w:drawing>
          <wp:inline distT="0" distB="0" distL="114300" distR="114300">
            <wp:extent cx="5378450" cy="1986915"/>
            <wp:effectExtent l="0" t="0" r="0" b="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0"/>
        </w:numPr>
        <w:ind w:firstLine="0" w:firstLineChars="0"/>
        <w:jc w:val="center"/>
        <w:rPr>
          <w:rFonts w:hint="eastAsia" w:ascii="仿宋_GB2312" w:hAnsi="仿宋_GB2312" w:eastAsia="仿宋_GB2312" w:cs="仿宋_GB2312"/>
          <w:sz w:val="32"/>
          <w:szCs w:val="40"/>
          <w:u w:val="none"/>
          <w:lang w:val="en-US" w:eastAsia="zh-CN"/>
        </w:rPr>
      </w:pPr>
      <w:r>
        <w:rPr>
          <w:rFonts w:hint="eastAsia"/>
          <w:lang w:val="en-US" w:eastAsia="zh-CN"/>
        </w:rPr>
        <w:t xml:space="preserve">     </w:t>
      </w:r>
      <w:r>
        <w:drawing>
          <wp:inline distT="0" distB="0" distL="114300" distR="114300">
            <wp:extent cx="4914265" cy="2829560"/>
            <wp:effectExtent l="0" t="0" r="0"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分省份看，江苏、四川和浙江3个省份市政设施</w:t>
      </w:r>
      <w:r>
        <w:rPr>
          <w:rFonts w:ascii="Times New Roman" w:hAnsi="Times New Roman" w:eastAsia="仿宋_GB2312" w:cs="Times New Roman"/>
          <w:color w:val="000000" w:themeColor="text1"/>
          <w:sz w:val="32"/>
          <w:szCs w:val="40"/>
          <w14:textFill>
            <w14:solidFill>
              <w14:schemeClr w14:val="tx1"/>
            </w14:solidFill>
          </w14:textFill>
        </w:rPr>
        <w:t>固定资产投资</w:t>
      </w:r>
      <w:r>
        <w:rPr>
          <w:rFonts w:hint="eastAsia" w:ascii="仿宋_GB2312" w:hAnsi="仿宋_GB2312" w:eastAsia="仿宋_GB2312" w:cs="仿宋_GB2312"/>
          <w:sz w:val="32"/>
          <w:szCs w:val="40"/>
          <w:u w:val="none"/>
          <w:lang w:val="en-US" w:eastAsia="zh-CN"/>
        </w:rPr>
        <w:t>超过2000亿元，广东、湖北、山东、安徽、北京、重庆、陕西和江西8个省（市）超过1000亿元；河南、河北、贵州、湖南、福建、上海和山西7个省（市）超过500亿元；天津、辽宁、吉林、广西、云南、甘肃、黑龙江、新疆、内蒙古和海南10个省（区、市）超过100亿元；宁夏、青海、西藏3个省（区）和新疆兵团不足50亿元。</w:t>
      </w:r>
    </w:p>
    <w:p>
      <w:pPr>
        <w:numPr>
          <w:ilvl w:val="0"/>
          <w:numId w:val="0"/>
        </w:numPr>
        <w:rPr>
          <w:rFonts w:hint="eastAsia" w:ascii="仿宋_GB2312" w:hAnsi="仿宋_GB2312" w:eastAsia="仿宋_GB2312" w:cs="仿宋_GB2312"/>
          <w:sz w:val="32"/>
          <w:szCs w:val="40"/>
          <w:u w:val="none"/>
          <w:lang w:val="en-US" w:eastAsia="zh-CN"/>
        </w:rPr>
      </w:pPr>
      <w:r>
        <w:drawing>
          <wp:inline distT="0" distB="0" distL="114300" distR="114300">
            <wp:extent cx="5271135" cy="2098675"/>
            <wp:effectExtent l="0" t="0" r="0" b="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12" w:name="_Toc14487"/>
      <w:bookmarkStart w:id="13" w:name="_Toc16118"/>
      <w:r>
        <w:rPr>
          <w:rFonts w:hint="eastAsia" w:ascii="楷体" w:hAnsi="楷体" w:eastAsia="楷体" w:cs="楷体"/>
          <w:sz w:val="32"/>
          <w:szCs w:val="40"/>
          <w:lang w:val="en-US" w:eastAsia="zh-CN"/>
        </w:rPr>
        <w:t>（二）资金来源</w:t>
      </w:r>
      <w:bookmarkEnd w:id="12"/>
      <w:bookmarkEnd w:id="13"/>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市政设施实际到位资金合计2.67万亿元，同比下降12.91%。其中，上年末结余资金0.23万亿元，同比下降42.12%；当年实际到位资金2.44万亿元，同比下降8.56%。其中，国家预算资金占当年实际到位资金的比重最大，为30.1%；其次是自筹资金、其他资金、国内贷款和债券的占比分别为26.8%、20.3%、12.5%和10.0%；利用外资占比最小，为0.3%。</w:t>
      </w:r>
    </w:p>
    <w:p>
      <w:pPr>
        <w:numPr>
          <w:ilvl w:val="0"/>
          <w:numId w:val="0"/>
        </w:numPr>
        <w:ind w:left="1056" w:leftChars="-95" w:hanging="1255" w:hangingChars="598"/>
        <w:jc w:val="center"/>
        <w:rPr>
          <w:rFonts w:hint="eastAsia"/>
          <w:lang w:val="en-US" w:eastAsia="zh-CN"/>
        </w:rPr>
      </w:pPr>
      <w:r>
        <w:drawing>
          <wp:inline distT="0" distB="0" distL="114300" distR="114300">
            <wp:extent cx="4845685" cy="2195830"/>
            <wp:effectExtent l="0" t="0" r="0" b="0"/>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114300" distR="114300">
            <wp:extent cx="4352290" cy="2379345"/>
            <wp:effectExtent l="0" t="0" r="0" b="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suppressLineNumbers w:val="0"/>
        <w:spacing w:before="0" w:beforeAutospacing="0" w:after="120" w:afterLines="50" w:afterAutospacing="0" w:line="336" w:lineRule="auto"/>
        <w:ind w:left="0" w:right="0" w:firstLine="420" w:firstLineChars="200"/>
        <w:jc w:val="both"/>
        <w:rPr>
          <w:rFonts w:hint="eastAsia" w:ascii="仿宋_GB2312" w:hAnsi="仿宋_GB2312" w:eastAsia="仿宋_GB2312" w:cs="仿宋_GB2312"/>
          <w:sz w:val="32"/>
          <w:szCs w:val="40"/>
          <w:u w:val="none"/>
          <w:lang w:val="en-US" w:eastAsia="zh-CN"/>
        </w:rPr>
      </w:pPr>
      <w:r>
        <w:rPr>
          <w:rFonts w:hint="eastAsia"/>
          <w:lang w:val="en-US" w:eastAsia="zh-CN"/>
        </w:rPr>
        <w:t xml:space="preserve">   </w:t>
      </w:r>
      <w:r>
        <w:rPr>
          <w:rFonts w:hint="eastAsia" w:ascii="仿宋_GB2312" w:hAnsi="仿宋_GB2312" w:eastAsia="仿宋_GB2312" w:cs="仿宋_GB2312"/>
          <w:sz w:val="32"/>
          <w:szCs w:val="40"/>
          <w:u w:val="none"/>
          <w:lang w:val="en-US" w:eastAsia="zh-CN"/>
        </w:rPr>
        <w:t>分省份看，江苏和浙江2个省份市政设施实际到位资金合计超过2000亿元；四川、广东、山东、安徽、重庆、湖北、陕西、北京、江西、河北和河南11个省（市）超过1000亿元；湖南、福建、贵州和上海4个省（市）超过500亿元；天津、山西、吉林、甘肃、广西、云南、新疆、黑龙江、辽宁、内蒙古和海南11个省（区、市）超过100亿元；西藏、青海、宁夏3个省（区）和新疆兵团不足100亿元。</w:t>
      </w:r>
    </w:p>
    <w:p>
      <w:pPr>
        <w:keepNext w:val="0"/>
        <w:keepLines w:val="0"/>
        <w:widowControl/>
        <w:suppressLineNumbers w:val="0"/>
        <w:spacing w:before="0" w:beforeAutospacing="0" w:after="120" w:afterLines="50" w:afterAutospacing="0" w:line="336" w:lineRule="auto"/>
        <w:ind w:right="0"/>
        <w:jc w:val="both"/>
        <w:rPr>
          <w:rFonts w:hint="eastAsia" w:ascii="仿宋_GB2312" w:hAnsi="仿宋_GB2312" w:eastAsia="仿宋_GB2312" w:cs="仿宋_GB2312"/>
          <w:sz w:val="32"/>
          <w:szCs w:val="40"/>
          <w:u w:val="none"/>
          <w:lang w:val="en-US" w:eastAsia="zh-CN"/>
        </w:rPr>
      </w:pPr>
      <w:r>
        <w:drawing>
          <wp:inline distT="0" distB="0" distL="114300" distR="114300">
            <wp:extent cx="5292090" cy="1814195"/>
            <wp:effectExtent l="0" t="0" r="0" b="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14" w:name="_Toc18429"/>
      <w:bookmarkStart w:id="15" w:name="_Toc26788"/>
      <w:r>
        <w:rPr>
          <w:rFonts w:hint="eastAsia" w:ascii="黑体" w:hAnsi="黑体" w:eastAsia="黑体" w:cs="黑体"/>
          <w:sz w:val="32"/>
          <w:szCs w:val="32"/>
          <w:lang w:val="en-US" w:eastAsia="zh-CN"/>
        </w:rPr>
        <w:t>三、城市居民生活方面</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16" w:name="_Toc19148"/>
      <w:bookmarkStart w:id="17" w:name="_Toc13047"/>
      <w:r>
        <w:rPr>
          <w:rFonts w:hint="eastAsia" w:ascii="楷体" w:hAnsi="楷体" w:eastAsia="楷体" w:cs="楷体"/>
          <w:sz w:val="32"/>
          <w:szCs w:val="40"/>
          <w:lang w:val="en-US" w:eastAsia="zh-CN"/>
        </w:rPr>
        <w:t>（一）城市供水</w:t>
      </w:r>
      <w:bookmarkEnd w:id="16"/>
      <w:bookmarkEnd w:id="17"/>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2022年，全国城市供水总量674.41亿立方米，同比增长0.16%；城市供水管道长度110.30万公里，同比增长4.06%；人均日生活用水量184.73升，比上年减少0.30升；供水普及率99.39%，比上年增加0.01个百分点。</w:t>
      </w:r>
    </w:p>
    <w:p>
      <w:pPr>
        <w:numPr>
          <w:ilvl w:val="0"/>
          <w:numId w:val="0"/>
        </w:numPr>
        <w:jc w:val="center"/>
      </w:pPr>
      <w:r>
        <w:drawing>
          <wp:inline distT="0" distB="0" distL="114300" distR="114300">
            <wp:extent cx="4572000" cy="1958340"/>
            <wp:effectExtent l="0" t="0" r="0" b="0"/>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0"/>
        </w:numPr>
        <w:jc w:val="center"/>
      </w:pPr>
      <w:r>
        <w:drawing>
          <wp:inline distT="0" distB="0" distL="114300" distR="114300">
            <wp:extent cx="4377690" cy="2012315"/>
            <wp:effectExtent l="0" t="0" r="0" b="0"/>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0"/>
        </w:numPr>
        <w:jc w:val="center"/>
      </w:pP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海南和广西2个省（区）城市人均日生活用水量超过250升，西藏、广东、福建、江西、湖南、浙江、江苏、上海8个省（区、市）和新疆兵团超过200升；湖北、四川、安徽、云南、重庆、贵州、青海、宁夏、北京、陕西、新疆和辽宁12个省（区、市）超过150升；河南、甘肃、山西、黑龙江、山东、河北、天津、吉林和内蒙古9个省（区、市）超过100升。</w:t>
      </w:r>
    </w:p>
    <w:p>
      <w:pPr>
        <w:numPr>
          <w:ilvl w:val="0"/>
          <w:numId w:val="0"/>
        </w:numPr>
        <w:rPr>
          <w:rFonts w:hint="default"/>
          <w:lang w:val="en-US" w:eastAsia="zh-CN"/>
        </w:rPr>
      </w:pPr>
      <w:r>
        <w:drawing>
          <wp:inline distT="0" distB="0" distL="114300" distR="114300">
            <wp:extent cx="5426710" cy="1968500"/>
            <wp:effectExtent l="0" t="0" r="0" b="0"/>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河北、上海、江苏、浙江和天津5个省（市）城市供水普及率达到100%；宁夏、福建、海南、湖北、山东、广西、北京、安徽、广东、新疆、西藏、内蒙古、青海、甘肃、江西、河南、黑龙江、云南和湖南19个省（区、市）超过99%；辽宁、贵州、山西、重庆和陕西5个省（市）超过98%；四川、吉林2个省和新疆兵团超过95%。</w:t>
      </w:r>
    </w:p>
    <w:p>
      <w:pPr>
        <w:numPr>
          <w:ilvl w:val="0"/>
          <w:numId w:val="0"/>
        </w:numPr>
      </w:pPr>
      <w:r>
        <w:drawing>
          <wp:inline distT="0" distB="0" distL="114300" distR="114300">
            <wp:extent cx="5268595" cy="2390140"/>
            <wp:effectExtent l="0" t="0" r="0" b="0"/>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8" w:name="_Toc6124"/>
      <w:bookmarkStart w:id="19" w:name="_Toc19450"/>
      <w:r>
        <w:rPr>
          <w:rFonts w:hint="eastAsia" w:ascii="楷体" w:hAnsi="楷体" w:eastAsia="楷体" w:cs="楷体"/>
          <w:sz w:val="32"/>
          <w:szCs w:val="40"/>
          <w:lang w:val="en-US" w:eastAsia="zh-CN"/>
        </w:rPr>
        <w:t>（二）城市燃气</w:t>
      </w:r>
      <w:bookmarkEnd w:id="18"/>
      <w:bookmarkEnd w:id="19"/>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1.供气总量</w:t>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2022年，全国城市人工煤气供气总量18.14亿立方米，同比下降3.09%；天然气供气总量1767.70亿立方米，同比增长2.71%；液化石油气供气总量758.46万吨，同比下降11.88%。</w:t>
      </w:r>
    </w:p>
    <w:p>
      <w:pPr>
        <w:numPr>
          <w:ilvl w:val="0"/>
          <w:numId w:val="0"/>
        </w:numPr>
        <w:ind w:firstLine="420" w:firstLineChars="200"/>
        <w:jc w:val="center"/>
      </w:pPr>
      <w:r>
        <w:drawing>
          <wp:inline distT="0" distB="0" distL="114300" distR="114300">
            <wp:extent cx="4694555" cy="2501900"/>
            <wp:effectExtent l="0" t="0" r="0" b="0"/>
            <wp:docPr id="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numPr>
          <w:ilvl w:val="0"/>
          <w:numId w:val="0"/>
        </w:numPr>
        <w:ind w:firstLine="420" w:firstLineChars="200"/>
        <w:jc w:val="center"/>
      </w:pPr>
      <w:r>
        <w:drawing>
          <wp:inline distT="0" distB="0" distL="114300" distR="114300">
            <wp:extent cx="4572000" cy="2225040"/>
            <wp:effectExtent l="0" t="0" r="0" b="0"/>
            <wp:docPr id="3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numPr>
          <w:ilvl w:val="0"/>
          <w:numId w:val="0"/>
        </w:numPr>
        <w:ind w:firstLine="420" w:firstLineChars="200"/>
        <w:jc w:val="center"/>
      </w:pPr>
      <w:r>
        <w:drawing>
          <wp:inline distT="0" distB="0" distL="114300" distR="114300">
            <wp:extent cx="4572000" cy="2225040"/>
            <wp:effectExtent l="0" t="0" r="0" b="0"/>
            <wp:docPr id="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2.供气管道长度</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2022年，全国城市人工煤气管道长度0.67万公里，同比下降26.70%；天然气管道长度98.04万公里，同比增长5.52%；液化石油气管道长度0.25万公里，同比下降12.46%。</w:t>
      </w:r>
    </w:p>
    <w:p>
      <w:pPr>
        <w:numPr>
          <w:ilvl w:val="0"/>
          <w:numId w:val="0"/>
        </w:numPr>
        <w:ind w:firstLine="420" w:firstLineChars="200"/>
        <w:jc w:val="center"/>
      </w:pPr>
      <w:r>
        <w:drawing>
          <wp:inline distT="0" distB="0" distL="114300" distR="114300">
            <wp:extent cx="4572000" cy="2225040"/>
            <wp:effectExtent l="0" t="0" r="0" b="0"/>
            <wp:docPr id="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numPr>
          <w:ilvl w:val="0"/>
          <w:numId w:val="0"/>
        </w:numPr>
        <w:ind w:firstLine="420" w:firstLineChars="200"/>
        <w:jc w:val="center"/>
        <w:rPr>
          <w:rFonts w:hint="default"/>
          <w:lang w:val="en-US" w:eastAsia="zh-CN"/>
        </w:rPr>
      </w:pPr>
      <w:r>
        <w:drawing>
          <wp:inline distT="0" distB="0" distL="114300" distR="114300">
            <wp:extent cx="4572000" cy="2225040"/>
            <wp:effectExtent l="0" t="0" r="0" b="0"/>
            <wp:docPr id="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numPr>
          <w:ilvl w:val="0"/>
          <w:numId w:val="0"/>
        </w:numPr>
        <w:ind w:firstLine="420" w:firstLineChars="200"/>
        <w:jc w:val="center"/>
        <w:rPr>
          <w:rFonts w:hint="eastAsia"/>
          <w:lang w:val="en-US" w:eastAsia="zh-CN"/>
        </w:rPr>
      </w:pPr>
      <w:r>
        <w:drawing>
          <wp:inline distT="0" distB="0" distL="114300" distR="114300">
            <wp:extent cx="4572000" cy="2225040"/>
            <wp:effectExtent l="0" t="0" r="0" b="0"/>
            <wp:docPr id="5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3.燃气普及率</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2022年，全国城市燃气普及率98.06%，比上年增加0.02个百分点；管道燃气普及率81.54%，比上年增加1.70个百分点。</w:t>
      </w:r>
    </w:p>
    <w:p>
      <w:pPr>
        <w:numPr>
          <w:ilvl w:val="0"/>
          <w:numId w:val="0"/>
        </w:numPr>
        <w:ind w:firstLine="420" w:firstLineChars="200"/>
        <w:jc w:val="center"/>
      </w:pPr>
      <w:r>
        <w:drawing>
          <wp:inline distT="0" distB="0" distL="114300" distR="114300">
            <wp:extent cx="4572000" cy="2225040"/>
            <wp:effectExtent l="0" t="0" r="0" b="0"/>
            <wp:docPr id="5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numPr>
          <w:ilvl w:val="0"/>
          <w:numId w:val="0"/>
        </w:numPr>
        <w:ind w:firstLine="420" w:firstLineChars="200"/>
        <w:jc w:val="center"/>
      </w:pPr>
      <w:r>
        <w:drawing>
          <wp:inline distT="0" distB="0" distL="114300" distR="114300">
            <wp:extent cx="4572000" cy="1868170"/>
            <wp:effectExtent l="0" t="0" r="0" b="0"/>
            <wp:docPr id="5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北京、天津和上海3个城市燃气普及率达到100%；浙江、江苏、福建、河北、海南、湖北、山东、广西、安徽和陕西10个省（区）超过99%；新疆、江西、重庆、广东、宁夏、河南、内蒙古、辽宁、湖南、山西、甘肃、四川、吉林13个省（区、市）和新疆兵团超过95%；青海、贵州和黑龙江3个省超过90%；西藏和云南不足80%。</w:t>
      </w:r>
    </w:p>
    <w:p>
      <w:pPr>
        <w:numPr>
          <w:ilvl w:val="0"/>
          <w:numId w:val="0"/>
        </w:numPr>
        <w:rPr>
          <w:rFonts w:hint="eastAsia"/>
          <w:lang w:val="en-US" w:eastAsia="zh-CN"/>
        </w:rPr>
      </w:pPr>
      <w:r>
        <w:drawing>
          <wp:inline distT="0" distB="0" distL="114300" distR="114300">
            <wp:extent cx="5267325" cy="2033905"/>
            <wp:effectExtent l="0" t="0" r="0" b="0"/>
            <wp:docPr id="3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重庆和山西2个省（市）城市管道燃气普及率超过95%；新疆、陕西、天津、四川、安徽、山东、河北、宁夏、江苏9个省（区、市）和新疆兵团超过90%；甘肃、河南、辽宁、青海、湖北、海南、上海、江西、吉林、湖南、北京、内蒙古、黑龙江、浙江、福建、贵州、广西和广东18个省（区、市）超过60%；云南和西藏超过40%。</w:t>
      </w:r>
    </w:p>
    <w:p>
      <w:pPr>
        <w:numPr>
          <w:ilvl w:val="0"/>
          <w:numId w:val="0"/>
        </w:numPr>
      </w:pPr>
      <w:r>
        <w:drawing>
          <wp:inline distT="0" distB="0" distL="114300" distR="114300">
            <wp:extent cx="5267325" cy="2030095"/>
            <wp:effectExtent l="0" t="0" r="0" b="0"/>
            <wp:docPr id="7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20" w:name="_Toc17103"/>
      <w:bookmarkStart w:id="21" w:name="_Toc25138"/>
      <w:r>
        <w:rPr>
          <w:rFonts w:hint="eastAsia" w:ascii="楷体" w:hAnsi="楷体" w:eastAsia="楷体" w:cs="楷体"/>
          <w:sz w:val="32"/>
          <w:szCs w:val="40"/>
          <w:lang w:val="en-US" w:eastAsia="zh-CN"/>
        </w:rPr>
        <w:t>（三）城市集中供热</w:t>
      </w:r>
      <w:bookmarkEnd w:id="20"/>
      <w:bookmarkEnd w:id="21"/>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1.集中供热能力</w:t>
      </w:r>
    </w:p>
    <w:p>
      <w:pPr>
        <w:numPr>
          <w:ilvl w:val="0"/>
          <w:numId w:val="0"/>
        </w:numPr>
        <w:ind w:firstLine="640" w:firstLineChars="200"/>
        <w:rPr>
          <w:rFonts w:hint="eastAsia"/>
          <w:lang w:val="en-US" w:eastAsia="zh-CN"/>
        </w:rPr>
      </w:pPr>
      <w:r>
        <w:rPr>
          <w:rFonts w:hint="eastAsia" w:ascii="仿宋_GB2312" w:hAnsi="仿宋_GB2312" w:eastAsia="仿宋_GB2312" w:cs="仿宋_GB2312"/>
          <w:sz w:val="32"/>
          <w:szCs w:val="40"/>
          <w:u w:val="none"/>
          <w:lang w:val="en-US" w:eastAsia="zh-CN"/>
        </w:rPr>
        <w:t>2022年年末，全国城市蒸汽集中供热能力12.55万吨/小时，同比增长5.69%；热水集中供热能力60.02万兆瓦，同比增长1.17%。</w:t>
      </w:r>
    </w:p>
    <w:p>
      <w:pPr>
        <w:numPr>
          <w:ilvl w:val="0"/>
          <w:numId w:val="0"/>
        </w:numPr>
        <w:ind w:firstLine="420" w:firstLineChars="200"/>
        <w:jc w:val="center"/>
      </w:pPr>
      <w:r>
        <w:drawing>
          <wp:inline distT="0" distB="0" distL="114300" distR="114300">
            <wp:extent cx="4572000" cy="2225040"/>
            <wp:effectExtent l="0" t="0" r="0" b="0"/>
            <wp:docPr id="6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numPr>
          <w:ilvl w:val="0"/>
          <w:numId w:val="0"/>
        </w:numPr>
        <w:ind w:firstLine="420" w:firstLineChars="200"/>
        <w:jc w:val="center"/>
      </w:pPr>
      <w:r>
        <w:drawing>
          <wp:inline distT="0" distB="0" distL="114300" distR="114300">
            <wp:extent cx="4572000" cy="2225040"/>
            <wp:effectExtent l="0" t="0" r="0" b="0"/>
            <wp:docPr id="6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2.集中供热面积</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2022年年末，全国城市集中供热面积111.25亿平方米，同比增长4.92%。</w:t>
      </w:r>
    </w:p>
    <w:p>
      <w:pPr>
        <w:numPr>
          <w:ilvl w:val="0"/>
          <w:numId w:val="0"/>
        </w:numPr>
        <w:ind w:firstLine="420" w:firstLineChars="200"/>
        <w:jc w:val="center"/>
      </w:pPr>
      <w:r>
        <w:drawing>
          <wp:inline distT="0" distB="0" distL="114300" distR="114300">
            <wp:extent cx="4572000" cy="2225040"/>
            <wp:effectExtent l="0" t="0" r="0" b="0"/>
            <wp:docPr id="6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山东和辽宁2个省份城市集中供热面积超过10亿平方米；河北、黑龙江、山西、吉林、北京、内蒙古、河南、天津和陕西9个省（区、市）超过5亿平方米；新疆、甘肃、宁夏和青海4个省（区）超过1亿平方米；江苏、安徽、湖北、贵州、云南、西藏、四川7个省（区）和新疆兵团不足1亿平方米；上海、浙江、福建、江西、湖南、广东、广西、海南和重庆9个省（区、市）无集中供热。</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outlineLvl w:val="9"/>
        <w:rPr>
          <w:rFonts w:hint="eastAsia" w:ascii="黑体" w:hAnsi="黑体" w:eastAsia="黑体" w:cs="黑体"/>
          <w:sz w:val="32"/>
          <w:szCs w:val="32"/>
          <w:lang w:val="en-US" w:eastAsia="zh-CN"/>
        </w:rPr>
      </w:pPr>
      <w:r>
        <w:drawing>
          <wp:inline distT="0" distB="0" distL="114300" distR="114300">
            <wp:extent cx="5270500" cy="2206625"/>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22" w:name="_Toc8291"/>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23" w:name="_Toc2333"/>
      <w:r>
        <w:rPr>
          <w:rFonts w:hint="eastAsia" w:ascii="黑体" w:hAnsi="黑体" w:eastAsia="黑体" w:cs="黑体"/>
          <w:sz w:val="32"/>
          <w:szCs w:val="32"/>
          <w:lang w:val="en-US" w:eastAsia="zh-CN"/>
        </w:rPr>
        <w:t>四、城市居民出行方面</w:t>
      </w:r>
      <w:bookmarkEnd w:id="23"/>
    </w:p>
    <w:bookmarkEnd w:id="22"/>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24" w:name="_Toc29466"/>
      <w:bookmarkStart w:id="25" w:name="_Toc25962"/>
      <w:r>
        <w:rPr>
          <w:rFonts w:hint="eastAsia" w:ascii="楷体" w:hAnsi="楷体" w:eastAsia="楷体" w:cs="楷体"/>
          <w:sz w:val="32"/>
          <w:szCs w:val="40"/>
          <w:lang w:val="en-US" w:eastAsia="zh-CN"/>
        </w:rPr>
        <w:t>（一）城市轨道交通</w:t>
      </w:r>
      <w:bookmarkEnd w:id="24"/>
      <w:bookmarkEnd w:id="25"/>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2022年年末，全国城市已建成轨道交通9575.01公里，同比增长11.71%;在建轨道交通4802.89公里，同比下降7.14%。</w:t>
      </w:r>
    </w:p>
    <w:p>
      <w:pPr>
        <w:numPr>
          <w:ilvl w:val="0"/>
          <w:numId w:val="0"/>
        </w:numPr>
        <w:jc w:val="both"/>
      </w:pPr>
      <w:r>
        <w:drawing>
          <wp:inline distT="0" distB="0" distL="114300" distR="114300">
            <wp:extent cx="5269865" cy="2181860"/>
            <wp:effectExtent l="0" t="0" r="0" b="0"/>
            <wp:docPr id="8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和江苏2个省份已建成城市轨道交通长度突破1000公里；北京、上海、浙江、四川和湖北5个省（市）超过500公里；重庆、辽宁、山东、天津、陕西、湖南、河南、安徽、福建、云南、广西、江西和吉林13个省（区、市）在100—500公里之间；黑龙江、河北、贵州、内蒙古、甘肃、新疆、山西和海南8个省（区）不足100公里；西藏、青海、宁夏3个省（区）和新疆兵团暂无轨道交通。</w:t>
      </w:r>
    </w:p>
    <w:p>
      <w:pPr>
        <w:numPr>
          <w:ilvl w:val="0"/>
          <w:numId w:val="0"/>
        </w:numPr>
      </w:pPr>
      <w:r>
        <w:drawing>
          <wp:inline distT="0" distB="0" distL="114300" distR="114300">
            <wp:extent cx="5461000" cy="1854200"/>
            <wp:effectExtent l="0" t="0" r="0" b="0"/>
            <wp:docPr id="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numPr>
          <w:ilvl w:val="0"/>
          <w:numId w:val="0"/>
        </w:numPr>
        <w:ind w:firstLine="640" w:firstLineChars="200"/>
        <w:rPr>
          <w:rFonts w:hint="eastAsia"/>
          <w:lang w:val="en-US" w:eastAsia="zh-CN"/>
        </w:rPr>
      </w:pPr>
      <w:r>
        <w:rPr>
          <w:rFonts w:hint="eastAsia" w:ascii="仿宋_GB2312" w:hAnsi="仿宋_GB2312" w:eastAsia="仿宋_GB2312" w:cs="仿宋_GB2312"/>
          <w:sz w:val="32"/>
          <w:szCs w:val="40"/>
          <w:u w:val="none"/>
          <w:lang w:val="en-US" w:eastAsia="zh-CN"/>
        </w:rPr>
        <w:t>广东和江苏2个省份在建的城市轨道交通长度超过500公里；浙江、山东、重庆、北京、四川、福建、河南、天津、辽宁、陕西、上海、安徽、湖北和吉林14个省（市）在100—500公里之间；湖南、贵州、新疆、河北、江西、山西、云南、黑龙江、甘肃和广西10个省（区）不足100公里。</w:t>
      </w:r>
    </w:p>
    <w:p>
      <w:pPr>
        <w:numPr>
          <w:ilvl w:val="0"/>
          <w:numId w:val="0"/>
        </w:numPr>
        <w:rPr>
          <w:rFonts w:hint="eastAsia" w:ascii="仿宋_GB2312" w:hAnsi="仿宋_GB2312" w:eastAsia="仿宋_GB2312" w:cs="仿宋_GB2312"/>
          <w:sz w:val="32"/>
          <w:szCs w:val="40"/>
          <w:u w:val="none"/>
          <w:lang w:val="en-US" w:eastAsia="zh-CN"/>
        </w:rPr>
      </w:pPr>
      <w:r>
        <w:drawing>
          <wp:inline distT="0" distB="0" distL="114300" distR="114300">
            <wp:extent cx="5547360" cy="2005330"/>
            <wp:effectExtent l="0" t="0" r="0" b="0"/>
            <wp:docPr id="3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26" w:name="_Toc31021"/>
      <w:bookmarkStart w:id="27" w:name="_Toc2328"/>
      <w:r>
        <w:rPr>
          <w:rFonts w:hint="eastAsia" w:ascii="楷体" w:hAnsi="楷体" w:eastAsia="楷体" w:cs="楷体"/>
          <w:sz w:val="32"/>
          <w:szCs w:val="40"/>
          <w:lang w:val="en-US" w:eastAsia="zh-CN"/>
        </w:rPr>
        <w:t>（二）城市道路</w:t>
      </w:r>
      <w:bookmarkEnd w:id="26"/>
      <w:bookmarkEnd w:id="27"/>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2022年年末，全国城市道路面积108.93亿平方米，同比增长3.39%；城市道路长度55.22万公里，同比增长3.70%。2022年城市人均道路面积19.28平方米，比上年增加0.44平方米。</w:t>
      </w:r>
    </w:p>
    <w:p>
      <w:pPr>
        <w:numPr>
          <w:ilvl w:val="0"/>
          <w:numId w:val="0"/>
        </w:numPr>
        <w:jc w:val="center"/>
      </w:pPr>
      <w:r>
        <w:drawing>
          <wp:inline distT="0" distB="0" distL="114300" distR="114300">
            <wp:extent cx="4867275" cy="2040890"/>
            <wp:effectExtent l="0" t="0" r="0" b="0"/>
            <wp:docPr id="8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numPr>
          <w:ilvl w:val="0"/>
          <w:numId w:val="0"/>
        </w:numPr>
        <w:jc w:val="center"/>
      </w:pPr>
      <w:r>
        <w:drawing>
          <wp:inline distT="0" distB="0" distL="114300" distR="114300">
            <wp:extent cx="4867275" cy="2040890"/>
            <wp:effectExtent l="0" t="0" r="0" b="0"/>
            <wp:docPr id="8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numPr>
          <w:ilvl w:val="0"/>
          <w:numId w:val="0"/>
        </w:numPr>
        <w:jc w:val="center"/>
        <w:rPr>
          <w:rFonts w:hint="default"/>
          <w:lang w:val="en-US" w:eastAsia="zh-CN"/>
        </w:rPr>
      </w:pPr>
      <w:r>
        <w:drawing>
          <wp:inline distT="0" distB="0" distL="114300" distR="114300">
            <wp:extent cx="4867275" cy="1951355"/>
            <wp:effectExtent l="0" t="0" r="0" b="0"/>
            <wp:docPr id="8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numPr>
          <w:ilvl w:val="0"/>
          <w:numId w:val="0"/>
        </w:numPr>
        <w:ind w:leftChars="0"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宁夏、贵州、山东、江西、江苏、海南、内蒙古、安徽、广西、新疆、甘肃、西藏、福建、河北、湖南15个省（区）和新疆兵团城市人均道路面积在20平方米以上；湖北、浙江、青海、辽宁、山西、四川、陕西、云南、吉林、河南、重庆、黑龙江、天津和广东14个省（市）在15—20平方米之间；北京和上海不足10平方米。</w:t>
      </w:r>
    </w:p>
    <w:p>
      <w:pPr>
        <w:numPr>
          <w:ilvl w:val="0"/>
          <w:numId w:val="0"/>
        </w:numPr>
      </w:pPr>
      <w:r>
        <w:drawing>
          <wp:inline distT="0" distB="0" distL="114300" distR="114300">
            <wp:extent cx="5561965" cy="2235835"/>
            <wp:effectExtent l="0" t="0" r="0" b="0"/>
            <wp:docPr id="4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numPr>
          <w:ilvl w:val="0"/>
          <w:numId w:val="0"/>
        </w:numPr>
        <w:ind w:firstLine="640" w:firstLineChars="200"/>
        <w:outlineLvl w:val="0"/>
        <w:rPr>
          <w:rFonts w:hint="eastAsia" w:ascii="黑体" w:hAnsi="黑体" w:eastAsia="黑体" w:cs="黑体"/>
          <w:sz w:val="32"/>
          <w:szCs w:val="32"/>
        </w:rPr>
      </w:pPr>
      <w:bookmarkStart w:id="28" w:name="_Toc15022"/>
      <w:r>
        <w:rPr>
          <w:rFonts w:hint="eastAsia" w:ascii="黑体" w:hAnsi="黑体" w:eastAsia="黑体" w:cs="黑体"/>
          <w:sz w:val="32"/>
          <w:szCs w:val="32"/>
          <w:lang w:val="en-US" w:eastAsia="zh-CN"/>
        </w:rPr>
        <w:t>五、城市环境卫生方面</w:t>
      </w:r>
      <w:bookmarkEnd w:id="28"/>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29" w:name="_Toc15596"/>
      <w:r>
        <w:rPr>
          <w:rFonts w:hint="eastAsia" w:ascii="楷体" w:hAnsi="楷体" w:eastAsia="楷体" w:cs="楷体"/>
          <w:sz w:val="32"/>
          <w:szCs w:val="40"/>
          <w:lang w:val="en-US" w:eastAsia="zh-CN"/>
        </w:rPr>
        <w:t>（一）城市污水处理</w:t>
      </w:r>
      <w:bookmarkEnd w:id="29"/>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排水管道总长度91.35万公里，同比增长4.73%；污水处理厂处理能力2.16亿立方米/日，同比增长4.04%。2022年，污水处理率98.11%，比上年增加0.22个百分点；城市生活污水集中收集率70.06%，比上年增加1.47个百分点。</w:t>
      </w:r>
    </w:p>
    <w:p>
      <w:pPr>
        <w:numPr>
          <w:ilvl w:val="0"/>
          <w:numId w:val="0"/>
        </w:numPr>
        <w:ind w:firstLine="420" w:firstLineChars="200"/>
        <w:jc w:val="center"/>
        <w:rPr>
          <w:rFonts w:hint="eastAsia" w:ascii="仿宋_GB2312" w:hAnsi="仿宋_GB2312" w:eastAsia="仿宋_GB2312" w:cs="仿宋_GB2312"/>
          <w:sz w:val="32"/>
          <w:szCs w:val="40"/>
          <w:u w:val="none"/>
          <w:lang w:val="en-US" w:eastAsia="zh-CN"/>
        </w:rPr>
      </w:pPr>
      <w:r>
        <w:drawing>
          <wp:inline distT="0" distB="0" distL="114300" distR="114300">
            <wp:extent cx="4968240" cy="194373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numPr>
          <w:ilvl w:val="0"/>
          <w:numId w:val="0"/>
        </w:numPr>
        <w:ind w:firstLine="420" w:firstLineChars="200"/>
        <w:jc w:val="center"/>
        <w:rPr>
          <w:rFonts w:hint="eastAsia" w:ascii="仿宋_GB2312" w:hAnsi="仿宋_GB2312" w:eastAsia="仿宋_GB2312" w:cs="仿宋_GB2312"/>
          <w:sz w:val="32"/>
          <w:szCs w:val="40"/>
          <w:u w:val="none"/>
          <w:lang w:val="en-US" w:eastAsia="zh-CN"/>
        </w:rPr>
      </w:pPr>
      <w:r>
        <w:drawing>
          <wp:inline distT="0" distB="0" distL="114300" distR="114300">
            <wp:extent cx="4658360" cy="143573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江苏、山东、浙江、辽宁和河南6个省份城市污水处理厂处理能力超过1000万立方米/日；湖北、四川、上海、湖南、安徽、河北、北京、陕西、福建和广西10个省（区、市）在500—1000万立方米/日之间；重庆、吉林、江西、黑龙江、贵州、云南、山西、天津、新疆、内蒙古、甘肃、宁夏和海南13个省（区、市）在100—500万立方米/日之间；青海、西藏和新疆兵团不足100万立方米/日。</w:t>
      </w:r>
    </w:p>
    <w:p>
      <w:pPr>
        <w:numPr>
          <w:ilvl w:val="0"/>
          <w:numId w:val="0"/>
        </w:numPr>
      </w:pPr>
      <w:r>
        <w:drawing>
          <wp:inline distT="0" distB="0" distL="114300" distR="114300">
            <wp:extent cx="5457825" cy="1929765"/>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numPr>
          <w:ilvl w:val="0"/>
          <w:numId w:val="0"/>
        </w:numPr>
        <w:ind w:firstLine="640" w:firstLineChars="200"/>
      </w:pPr>
      <w:r>
        <w:rPr>
          <w:rFonts w:hint="eastAsia" w:ascii="仿宋_GB2312" w:hAnsi="仿宋_GB2312" w:eastAsia="仿宋_GB2312" w:cs="仿宋_GB2312"/>
          <w:sz w:val="32"/>
          <w:szCs w:val="40"/>
          <w:u w:val="none"/>
          <w:lang w:val="en-US" w:eastAsia="zh-CN"/>
        </w:rPr>
        <w:t>上海、北京、天津、新疆、河北、陕西、河南、宁夏、内蒙古、江苏、甘肃、浙江、吉林、广东、山东和山西16个省（区、市）城市生活污水集中收集率超过70%；黑龙江、云南、青海、重庆、辽宁、安徽、福建、湖南、海南、湖北、贵州、广西、四川13个省（区、市）和新疆兵团在50%—70%之间；江西和西藏2个省（区）不足50%。</w:t>
      </w:r>
    </w:p>
    <w:p>
      <w:pPr>
        <w:numPr>
          <w:ilvl w:val="0"/>
          <w:numId w:val="0"/>
        </w:numPr>
        <w:rPr>
          <w:rFonts w:hint="default"/>
          <w:lang w:val="en-US" w:eastAsia="zh-CN"/>
        </w:rPr>
      </w:pPr>
      <w:r>
        <w:drawing>
          <wp:inline distT="0" distB="0" distL="114300" distR="114300">
            <wp:extent cx="5760085" cy="1854200"/>
            <wp:effectExtent l="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30" w:name="_Toc23592"/>
      <w:r>
        <w:rPr>
          <w:rFonts w:hint="eastAsia" w:ascii="楷体" w:hAnsi="楷体" w:eastAsia="楷体" w:cs="楷体"/>
          <w:sz w:val="32"/>
          <w:szCs w:val="40"/>
          <w:lang w:val="en-US" w:eastAsia="zh-CN"/>
        </w:rPr>
        <w:t>（二）城市生活垃圾处理</w:t>
      </w:r>
      <w:bookmarkEnd w:id="30"/>
    </w:p>
    <w:p>
      <w:pPr>
        <w:numPr>
          <w:ilvl w:val="0"/>
          <w:numId w:val="0"/>
        </w:numPr>
        <w:ind w:firstLine="640" w:firstLineChars="200"/>
      </w:pPr>
      <w:r>
        <w:rPr>
          <w:rFonts w:hint="eastAsia" w:ascii="仿宋_GB2312" w:hAnsi="仿宋_GB2312" w:eastAsia="仿宋_GB2312" w:cs="仿宋_GB2312"/>
          <w:sz w:val="32"/>
          <w:szCs w:val="40"/>
          <w:u w:val="none"/>
          <w:lang w:val="en-US" w:eastAsia="zh-CN"/>
        </w:rPr>
        <w:t>2022年，全国城市生活垃圾无害化处理率99.90%，比上年增加0.02个百分点；生活垃圾无害化处理能力110.94万吨/日，同比增长4.95%，其中，焚烧处理能力占比为72.53%。</w:t>
      </w:r>
    </w:p>
    <w:p>
      <w:pPr>
        <w:numPr>
          <w:ilvl w:val="0"/>
          <w:numId w:val="0"/>
        </w:numPr>
        <w:jc w:val="center"/>
      </w:pPr>
      <w:r>
        <w:drawing>
          <wp:inline distT="0" distB="0" distL="114300" distR="114300">
            <wp:extent cx="4489450" cy="176784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numPr>
          <w:ilvl w:val="0"/>
          <w:numId w:val="0"/>
        </w:numPr>
        <w:jc w:val="center"/>
      </w:pPr>
      <w:r>
        <w:drawing>
          <wp:inline distT="0" distB="0" distL="114300" distR="114300">
            <wp:extent cx="5076190" cy="1997710"/>
            <wp:effectExtent l="0" t="0" r="0" b="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浙江、江苏和山东4个省份城市生活垃圾无害化处理能力超过7万吨/日；河南、四川、湖北、辽宁、湖南、河北、上海、安徽、陕西、北京、福建、广西、重庆、贵州、江西、黑龙江、吉林、山西、天津、云南、海南、内蒙古、新疆和甘肃24个省（区、市）在1—5万吨/日之间；宁夏、西藏、青海3个省（区）和新疆兵团低于1万吨/日。</w:t>
      </w:r>
    </w:p>
    <w:p>
      <w:pPr>
        <w:numPr>
          <w:ilvl w:val="0"/>
          <w:numId w:val="0"/>
        </w:numPr>
      </w:pPr>
      <w:r>
        <w:drawing>
          <wp:inline distT="0" distB="0" distL="114300" distR="114300">
            <wp:extent cx="5581650" cy="1666875"/>
            <wp:effectExtent l="0" t="0" r="0" b="0"/>
            <wp:docPr id="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天津、江西、海南、浙江、河北、河南、福建、江苏、四川、山东、云南、安徽、湖北、广东、山西、宁夏、贵州、重庆、广西、上海、甘肃和辽宁22个省（区、市）城市生活垃圾焚烧处理能力占比超过60%；黑龙江、湖南、吉林、北京、陕西、新疆和内蒙古7个省（区、市）在40%—60%之间；西藏、青海2个省（区）和新疆兵团不足40%。</w:t>
      </w:r>
    </w:p>
    <w:p>
      <w:pPr>
        <w:numPr>
          <w:ilvl w:val="0"/>
          <w:numId w:val="0"/>
        </w:numPr>
        <w:rPr>
          <w:rFonts w:hint="eastAsia"/>
          <w:lang w:val="en-US" w:eastAsia="zh-CN"/>
        </w:rPr>
      </w:pPr>
      <w:r>
        <w:drawing>
          <wp:inline distT="0" distB="0" distL="114300" distR="114300">
            <wp:extent cx="5700395" cy="1965960"/>
            <wp:effectExtent l="0" t="0" r="0" b="0"/>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31" w:name="_Toc27661"/>
      <w:bookmarkStart w:id="32" w:name="_Toc3010"/>
      <w:r>
        <w:rPr>
          <w:rFonts w:hint="eastAsia" w:ascii="黑体" w:hAnsi="黑体" w:eastAsia="黑体" w:cs="黑体"/>
          <w:sz w:val="32"/>
          <w:szCs w:val="32"/>
          <w:lang w:val="en-US" w:eastAsia="zh-CN"/>
        </w:rPr>
        <w:t>六、城市绿色生态方面</w:t>
      </w:r>
      <w:bookmarkEnd w:id="31"/>
      <w:bookmarkEnd w:id="32"/>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33" w:name="_Toc24547"/>
      <w:bookmarkStart w:id="34" w:name="_Toc6009"/>
      <w:r>
        <w:rPr>
          <w:rFonts w:hint="eastAsia" w:ascii="楷体" w:hAnsi="楷体" w:eastAsia="楷体" w:cs="楷体"/>
          <w:sz w:val="32"/>
          <w:szCs w:val="40"/>
          <w:lang w:val="en-US" w:eastAsia="zh-CN"/>
        </w:rPr>
        <w:t>（一）城市建成区绿地面积</w:t>
      </w:r>
      <w:bookmarkEnd w:id="33"/>
      <w:bookmarkEnd w:id="34"/>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2022年年末，全国城市建成区绿地面积257.97万公顷，同比增长3.50%。</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40"/>
          <w:u w:val="none"/>
          <w:lang w:val="en-US" w:eastAsia="zh-CN"/>
        </w:rPr>
      </w:pPr>
      <w:r>
        <w:drawing>
          <wp:inline distT="0" distB="0" distL="114300" distR="114300">
            <wp:extent cx="4867275" cy="2109470"/>
            <wp:effectExtent l="0" t="0" r="0" b="0"/>
            <wp:docPr id="8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广东和山东2个省份城市建成区绿地面积超过20万公顷；江苏、四川、浙江、河南、湖北、辽宁和安徽7个省份超过10万公顷；北京、河北、湖南、江西、福建、重庆、广西、黑龙江、吉林、陕西、新疆、山西和云南13个省（区、市）超过5万公顷；内蒙古、贵州、上海、天津、甘肃、宁夏、海南、青海、西藏9个省（区、市）和新疆兵团不足5万公顷。</w:t>
      </w:r>
    </w:p>
    <w:p>
      <w:pPr>
        <w:numPr>
          <w:ilvl w:val="0"/>
          <w:numId w:val="0"/>
        </w:numPr>
        <w:jc w:val="center"/>
        <w:rPr>
          <w:rFonts w:hint="eastAsia" w:ascii="仿宋_GB2312" w:hAnsi="仿宋_GB2312" w:eastAsia="仿宋_GB2312" w:cs="仿宋_GB2312"/>
          <w:sz w:val="32"/>
          <w:szCs w:val="40"/>
          <w:u w:val="none"/>
          <w:lang w:val="en-US" w:eastAsia="zh-CN"/>
        </w:rPr>
      </w:pPr>
      <w:r>
        <w:drawing>
          <wp:inline distT="0" distB="0" distL="114300" distR="114300">
            <wp:extent cx="5271135" cy="2063115"/>
            <wp:effectExtent l="0" t="0" r="0" b="0"/>
            <wp:docPr id="4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35" w:name="_Toc23089"/>
      <w:bookmarkStart w:id="36" w:name="_Toc7535"/>
      <w:r>
        <w:rPr>
          <w:rFonts w:hint="eastAsia" w:ascii="楷体" w:hAnsi="楷体" w:eastAsia="楷体" w:cs="楷体"/>
          <w:sz w:val="32"/>
          <w:szCs w:val="40"/>
          <w:lang w:val="en-US" w:eastAsia="zh-CN"/>
        </w:rPr>
        <w:t>（二）城市建成区绿地率</w:t>
      </w:r>
      <w:bookmarkEnd w:id="35"/>
      <w:bookmarkEnd w:id="36"/>
    </w:p>
    <w:p>
      <w:p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2022年，全国城市建成区绿地率39.29%，比上年增加0.59个百分点。</w:t>
      </w:r>
    </w:p>
    <w:p>
      <w:pPr>
        <w:numPr>
          <w:ilvl w:val="0"/>
          <w:numId w:val="0"/>
        </w:numPr>
        <w:jc w:val="center"/>
      </w:pPr>
      <w:r>
        <w:drawing>
          <wp:inline distT="0" distB="0" distL="114300" distR="114300">
            <wp:extent cx="4652010" cy="1800225"/>
            <wp:effectExtent l="0" t="0" r="0" b="0"/>
            <wp:docPr id="8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北京、江西、重庆、安徽、福建、江苏、宁夏、广东、贵州、山西、河北11个省（区、市）和新疆兵团城市建成区绿地率超过40%；山东、云南、海南、湖北、内蒙古、吉林、湖南、辽宁、四川、西藏、陕西、浙江、新疆、上海、广西、河南和天津17个省（区、市）在35%—40%；黑龙江、青海和甘肃3个省份低于35%。</w:t>
      </w:r>
    </w:p>
    <w:p>
      <w:pPr>
        <w:numPr>
          <w:ilvl w:val="0"/>
          <w:numId w:val="0"/>
        </w:numPr>
        <w:rPr>
          <w:rFonts w:hint="default"/>
          <w:lang w:val="en-US" w:eastAsia="zh-CN"/>
        </w:rPr>
      </w:pPr>
      <w:r>
        <w:drawing>
          <wp:inline distT="0" distB="0" distL="114300" distR="114300">
            <wp:extent cx="5271135" cy="2120265"/>
            <wp:effectExtent l="0" t="0" r="0" b="0"/>
            <wp:docPr id="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u w:val="single"/>
          <w:lang w:val="en-US" w:eastAsia="zh-CN"/>
        </w:rPr>
      </w:pPr>
      <w:bookmarkStart w:id="37" w:name="_Toc26153"/>
      <w:bookmarkStart w:id="38" w:name="_Toc30788"/>
      <w:r>
        <w:rPr>
          <w:rFonts w:hint="eastAsia" w:ascii="楷体" w:hAnsi="楷体" w:eastAsia="楷体" w:cs="楷体"/>
          <w:sz w:val="32"/>
          <w:szCs w:val="40"/>
          <w:lang w:val="en-US" w:eastAsia="zh-CN"/>
        </w:rPr>
        <w:t>（三）城市人均公园绿地面积</w:t>
      </w:r>
      <w:bookmarkEnd w:id="37"/>
      <w:bookmarkEnd w:id="38"/>
    </w:p>
    <w:p>
      <w:p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2022年，全国城市人均公园绿地面积15.29平方米，比上年增加0.42平方米。</w:t>
      </w:r>
    </w:p>
    <w:p>
      <w:pPr>
        <w:numPr>
          <w:ilvl w:val="0"/>
          <w:numId w:val="0"/>
        </w:numPr>
        <w:jc w:val="center"/>
        <w:rPr>
          <w:rFonts w:hint="eastAsia" w:ascii="仿宋_GB2312" w:hAnsi="仿宋_GB2312" w:eastAsia="仿宋_GB2312" w:cs="仿宋_GB2312"/>
          <w:sz w:val="32"/>
          <w:szCs w:val="40"/>
          <w:u w:val="single"/>
          <w:lang w:val="en-US" w:eastAsia="zh-CN"/>
        </w:rPr>
      </w:pPr>
      <w:r>
        <w:drawing>
          <wp:inline distT="0" distB="0" distL="114300" distR="114300">
            <wp:extent cx="4652010" cy="1800225"/>
            <wp:effectExtent l="0" t="0" r="0" b="0"/>
            <wp:docPr id="8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分省份看，宁夏、内蒙古、山东、广东、重庆、江西、安徽、北京、贵州、甘肃、西藏、江苏、河南、湖北、河北和福建16个省（区、市）和新疆兵团城市人均公园绿地面积超过15平方米；新疆、吉林、黑龙江、四川、云南、浙江、山西、辽宁、青海、陕西、湖南、海南和广西13个省（区）介于11—15平方米；天津和上海低于10平方米。</w:t>
      </w:r>
    </w:p>
    <w:p>
      <w:pPr>
        <w:numPr>
          <w:ilvl w:val="0"/>
          <w:numId w:val="0"/>
        </w:numPr>
      </w:pPr>
      <w:r>
        <w:drawing>
          <wp:inline distT="0" distB="0" distL="114300" distR="114300">
            <wp:extent cx="5271135" cy="1862455"/>
            <wp:effectExtent l="0" t="0" r="0" b="0"/>
            <wp:docPr id="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pStyle w:val="7"/>
        <w:keepNext w:val="0"/>
        <w:keepLines w:val="0"/>
        <w:widowControl/>
        <w:suppressLineNumbers w:val="0"/>
        <w:shd w:val="clear" w:fill="FFFFFF"/>
        <w:spacing w:before="180" w:beforeAutospacing="0" w:line="360" w:lineRule="atLeast"/>
        <w:ind w:left="0" w:firstLine="482" w:firstLineChars="200"/>
        <w:rPr>
          <w:rFonts w:hint="eastAsia" w:ascii="楷体" w:hAnsi="楷体" w:eastAsia="楷体" w:cs="楷体"/>
          <w:b/>
          <w:bCs/>
          <w:color w:val="333333"/>
          <w:shd w:val="clear" w:fill="FFFFFF"/>
          <w:lang w:eastAsia="zh-CN"/>
        </w:rPr>
      </w:pPr>
    </w:p>
    <w:p>
      <w:pPr>
        <w:pStyle w:val="7"/>
        <w:keepNext w:val="0"/>
        <w:keepLines w:val="0"/>
        <w:widowControl/>
        <w:suppressLineNumbers w:val="0"/>
        <w:shd w:val="clear" w:fill="FFFFFF"/>
        <w:spacing w:before="180" w:beforeAutospacing="0" w:line="360" w:lineRule="atLeast"/>
        <w:ind w:left="0" w:firstLine="482" w:firstLineChars="200"/>
        <w:rPr>
          <w:rFonts w:hint="eastAsia" w:ascii="楷体" w:hAnsi="楷体" w:eastAsia="楷体" w:cs="楷体"/>
          <w:b/>
          <w:bCs/>
          <w:color w:val="333333"/>
          <w:shd w:val="clear" w:fill="FFFFFF"/>
          <w:lang w:val="en-US"/>
        </w:rPr>
      </w:pPr>
      <w:r>
        <w:rPr>
          <w:rFonts w:hint="eastAsia" w:ascii="楷体" w:hAnsi="楷体" w:eastAsia="楷体" w:cs="楷体"/>
          <w:b/>
          <w:bCs/>
          <w:color w:val="333333"/>
          <w:shd w:val="clear" w:fill="FFFFFF"/>
          <w:lang w:eastAsia="zh-CN"/>
        </w:rPr>
        <w:t>注释：</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eastAsia="zh-CN"/>
        </w:rPr>
        <w:t>香港、澳门特别行政区及台湾省统计数据未包括在本公报内。</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eastAsia="zh-CN"/>
        </w:rPr>
        <w:t>本公报统计范围为设市的城区：</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eastAsia="zh-CN"/>
        </w:rPr>
        <w:t>街道办事处所辖地域；</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eastAsia="zh-CN"/>
        </w:rPr>
        <w:t>城市公共设施、居住设施和市政公用设施等连接到的其他镇（乡）地域；（</w:t>
      </w:r>
      <w:r>
        <w:rPr>
          <w:rFonts w:hint="eastAsia" w:ascii="楷体" w:hAnsi="楷体" w:eastAsia="楷体" w:cs="楷体"/>
          <w:color w:val="000000"/>
          <w:shd w:val="clear" w:fill="FFFFFF"/>
          <w:lang w:val="en-US"/>
        </w:rPr>
        <w:t>3</w:t>
      </w:r>
      <w:r>
        <w:rPr>
          <w:rFonts w:hint="eastAsia" w:ascii="楷体" w:hAnsi="楷体" w:eastAsia="楷体" w:cs="楷体"/>
          <w:color w:val="000000"/>
          <w:shd w:val="clear" w:fill="FFFFFF"/>
          <w:lang w:eastAsia="zh-CN"/>
        </w:rPr>
        <w:t>）常住人口在</w:t>
      </w:r>
      <w:r>
        <w:rPr>
          <w:rFonts w:hint="eastAsia" w:ascii="楷体" w:hAnsi="楷体" w:eastAsia="楷体" w:cs="楷体"/>
          <w:color w:val="000000"/>
          <w:shd w:val="clear" w:fill="FFFFFF"/>
          <w:lang w:val="en-US"/>
        </w:rPr>
        <w:t>3000</w:t>
      </w:r>
      <w:r>
        <w:rPr>
          <w:rFonts w:hint="eastAsia" w:ascii="楷体" w:hAnsi="楷体" w:eastAsia="楷体" w:cs="楷体"/>
          <w:color w:val="000000"/>
          <w:shd w:val="clear" w:fill="FFFFFF"/>
          <w:lang w:eastAsia="zh-CN"/>
        </w:rPr>
        <w:t>人以上独立的工矿区、开发区、科研单位、大专院校等特殊区域。</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3</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val="en-US" w:eastAsia="zh-CN"/>
        </w:rPr>
        <w:t>本公报</w:t>
      </w:r>
      <w:r>
        <w:rPr>
          <w:rFonts w:hint="eastAsia" w:ascii="楷体" w:hAnsi="楷体" w:eastAsia="楷体" w:cs="楷体"/>
          <w:color w:val="000000"/>
          <w:shd w:val="clear" w:fill="FFFFFF"/>
          <w:lang w:eastAsia="zh-CN"/>
        </w:rPr>
        <w:t>城区人口包含城区户籍人口和城区暂住人口。</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eastAsia="zh-CN"/>
        </w:rPr>
      </w:pPr>
      <w:r>
        <w:rPr>
          <w:rFonts w:hint="eastAsia" w:ascii="楷体" w:hAnsi="楷体" w:eastAsia="楷体" w:cs="楷体"/>
          <w:color w:val="000000"/>
          <w:shd w:val="clear" w:fill="FFFFFF"/>
          <w:lang w:val="en-US" w:eastAsia="zh-CN"/>
        </w:rPr>
        <w:t>4</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本公报中所有人均指标、普及率指标均以户籍人口与暂住人口合计为分母计算。</w:t>
      </w:r>
    </w:p>
    <w:p>
      <w:pPr>
        <w:pStyle w:val="7"/>
        <w:keepNext w:val="0"/>
        <w:keepLines w:val="0"/>
        <w:widowControl/>
        <w:suppressLineNumbers w:val="0"/>
        <w:shd w:val="clear" w:fill="FFFFFF"/>
        <w:snapToGrid w:val="0"/>
        <w:spacing w:before="120" w:beforeAutospacing="0"/>
        <w:ind w:left="0" w:firstLine="480" w:firstLineChars="200"/>
        <w:rPr>
          <w:rFonts w:hint="default" w:ascii="楷体" w:hAnsi="楷体" w:eastAsia="楷体" w:cs="楷体"/>
          <w:color w:val="000000"/>
          <w:shd w:val="clear" w:fill="FFFFFF"/>
          <w:lang w:val="en-US" w:eastAsia="zh-CN"/>
        </w:rPr>
      </w:pPr>
      <w:r>
        <w:rPr>
          <w:rFonts w:hint="eastAsia" w:ascii="楷体" w:hAnsi="楷体" w:eastAsia="楷体" w:cs="楷体"/>
          <w:color w:val="000000"/>
          <w:shd w:val="clear" w:fill="FFFFFF"/>
          <w:lang w:val="en-US" w:eastAsia="zh-CN"/>
        </w:rPr>
        <w:t>5.本公报中全国城市建成区面积不含北京市。</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6</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本公报中全国市政公用设施固定资产投资</w:t>
      </w:r>
      <w:r>
        <w:rPr>
          <w:rFonts w:hint="eastAsia" w:ascii="楷体" w:hAnsi="楷体" w:eastAsia="楷体" w:cs="楷体"/>
          <w:color w:val="000000"/>
          <w:shd w:val="clear" w:fill="FFFFFF"/>
          <w:lang w:val="en-US" w:eastAsia="zh-CN"/>
        </w:rPr>
        <w:t>包含城市和县城。</w:t>
      </w:r>
      <w:r>
        <w:rPr>
          <w:rFonts w:hint="eastAsia" w:ascii="楷体" w:hAnsi="楷体" w:eastAsia="楷体" w:cs="楷体"/>
          <w:color w:val="000000"/>
          <w:shd w:val="clear" w:fill="FFFFFF"/>
          <w:lang w:eastAsia="zh-CN"/>
        </w:rPr>
        <w:t>统计口径为计划总投资在</w:t>
      </w:r>
      <w:r>
        <w:rPr>
          <w:rFonts w:hint="eastAsia" w:ascii="楷体" w:hAnsi="楷体" w:eastAsia="楷体" w:cs="楷体"/>
          <w:color w:val="000000"/>
          <w:shd w:val="clear" w:fill="FFFFFF"/>
          <w:lang w:val="en-US"/>
        </w:rPr>
        <w:t>5</w:t>
      </w:r>
      <w:r>
        <w:rPr>
          <w:rFonts w:hint="eastAsia" w:ascii="楷体" w:hAnsi="楷体" w:eastAsia="楷体" w:cs="楷体"/>
          <w:color w:val="000000"/>
          <w:shd w:val="clear" w:fill="FFFFFF"/>
          <w:lang w:eastAsia="zh-CN"/>
        </w:rPr>
        <w:t>万元以上的市政公用设施项目，不含住宅及其他方面的投资。</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7</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供水综合生产能力是指按供水设施取水、净化、送水、出厂输水干管等环节设计能力计算的综合生产能力。</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8</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供水总量是指报告期供水企业（单位）供出的全部水量。包括有效供水量和漏损水量。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9</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供气管道长度是指报告期末从气源厂压缩机的出口或门站出口至各类用户引入管之间的全部已经通气投入使用的管道长度。</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0</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供气总量是指报告期燃气企业（单位）向用户供应的燃气数量。包括销售量和损失量。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1</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供热能力是指供热企业（单位）向城市热用户输送热能的设计能力。</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2</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供热总量是指在报告期供热企业（单位）向城市热用户输送全部蒸汽和热水的总热量。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3</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供热管道长度是指从各类热源到热用户建筑物接入口之间的全部蒸汽和热水的管道长度。不包括各类热源厂内部的管道长度。</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4</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城市轨道交通是指采用轨道结构进行承重和导向的车辆运输系统，依据城市交通总体规划的要求，设置全封闭或部分封闭的专用轨道线路，以列车或单车形式，运送相当规模客流量的公共交通方式。包括地铁系统、轻轨系统、单轨系统、有轨电车、磁浮系统、自动导向轨道系统和市域快速轨道系统。</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5</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城市道路是指城市供车辆、行人通行的，具备一定技术条件的道路、桥梁、隧道及其附属设施。城市道路由车行道和人行道等组成。在统计时只统计路面宽度在</w:t>
      </w:r>
      <w:r>
        <w:rPr>
          <w:rFonts w:hint="eastAsia" w:ascii="楷体" w:hAnsi="楷体" w:eastAsia="楷体" w:cs="楷体"/>
          <w:color w:val="000000"/>
          <w:shd w:val="clear" w:fill="FFFFFF"/>
          <w:lang w:val="en-US"/>
        </w:rPr>
        <w:t>3.5</w:t>
      </w:r>
      <w:r>
        <w:rPr>
          <w:rFonts w:hint="eastAsia" w:ascii="楷体" w:hAnsi="楷体" w:eastAsia="楷体" w:cs="楷体"/>
          <w:color w:val="000000"/>
          <w:shd w:val="clear" w:fill="FFFFFF"/>
          <w:lang w:eastAsia="zh-CN"/>
        </w:rPr>
        <w:t>米（含</w:t>
      </w:r>
      <w:r>
        <w:rPr>
          <w:rFonts w:hint="eastAsia" w:ascii="楷体" w:hAnsi="楷体" w:eastAsia="楷体" w:cs="楷体"/>
          <w:color w:val="000000"/>
          <w:shd w:val="clear" w:fill="FFFFFF"/>
          <w:lang w:val="en-US"/>
        </w:rPr>
        <w:t>3.5</w:t>
      </w:r>
      <w:r>
        <w:rPr>
          <w:rFonts w:hint="eastAsia" w:ascii="楷体" w:hAnsi="楷体" w:eastAsia="楷体" w:cs="楷体"/>
          <w:color w:val="000000"/>
          <w:shd w:val="clear" w:fill="FFFFFF"/>
          <w:lang w:eastAsia="zh-CN"/>
        </w:rPr>
        <w:t>米）以上的各种铺装道路，包括开放型工业区和住宅区道路在内。</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6</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排水管道长度是指所有市政排水总管、干管、支管、检查井及连接井进出口等长度之和。</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7</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污水处理</w:t>
      </w:r>
      <w:r>
        <w:rPr>
          <w:rFonts w:hint="eastAsia" w:ascii="楷体" w:hAnsi="楷体" w:eastAsia="楷体" w:cs="楷体"/>
          <w:color w:val="000000"/>
          <w:shd w:val="clear" w:fill="FFFFFF"/>
          <w:lang w:val="en-US" w:eastAsia="zh-CN"/>
        </w:rPr>
        <w:t>厂处理</w:t>
      </w:r>
      <w:r>
        <w:rPr>
          <w:rFonts w:hint="eastAsia" w:ascii="楷体" w:hAnsi="楷体" w:eastAsia="楷体" w:cs="楷体"/>
          <w:color w:val="000000"/>
          <w:shd w:val="clear" w:fill="FFFFFF"/>
          <w:lang w:eastAsia="zh-CN"/>
        </w:rPr>
        <w:t>能力是指污水处理厂每昼夜处理污水量的设计能力。</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18</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生活垃圾无害化处理能力是指按工艺设计每天所能处理生活垃圾的数量。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19</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生活垃圾焚烧处理能力指生活垃圾焚烧厂按工艺设计，每天所能处理生活垃圾的数量。</w:t>
      </w:r>
    </w:p>
    <w:p>
      <w:pPr>
        <w:pStyle w:val="7"/>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val="en-US" w:eastAsia="zh-CN"/>
        </w:rPr>
        <w:t>0</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绿地面积是指报告期末用作园林和绿化的各种绿地面积。包括公园绿地、防护绿地、广场用地、附属绿地和位于建成区范围内的区域绿地面积。</w:t>
      </w:r>
    </w:p>
    <w:p>
      <w:pPr>
        <w:keepNext w:val="0"/>
        <w:keepLines w:val="0"/>
        <w:widowControl w:val="0"/>
        <w:suppressLineNumbers w:val="0"/>
        <w:spacing w:before="0" w:beforeAutospacing="0" w:after="0" w:afterAutospacing="0"/>
        <w:ind w:left="0" w:right="0"/>
        <w:jc w:val="both"/>
        <w:rPr>
          <w:lang w:val="en-US"/>
        </w:rPr>
      </w:pPr>
    </w:p>
    <w:p>
      <w:pPr>
        <w:numPr>
          <w:ilvl w:val="0"/>
          <w:numId w:val="0"/>
        </w:numPr>
        <w:rPr>
          <w:rFonts w:hint="eastAsia" w:ascii="楷体" w:hAnsi="楷体" w:eastAsia="楷体" w:cs="楷体"/>
          <w:lang w:val="en-US" w:eastAsia="zh-CN"/>
        </w:rPr>
      </w:pPr>
    </w:p>
    <w:p>
      <w:pPr>
        <w:numPr>
          <w:ilvl w:val="0"/>
          <w:numId w:val="0"/>
        </w:numPr>
        <w:rPr>
          <w:rFonts w:hint="eastAsia" w:ascii="楷体" w:hAnsi="楷体" w:eastAsia="楷体" w:cs="楷体"/>
          <w:sz w:val="32"/>
          <w:szCs w:val="40"/>
          <w:lang w:val="en-US" w:eastAsia="zh-CN"/>
        </w:rPr>
      </w:pPr>
    </w:p>
    <w:p>
      <w:pPr>
        <w:numPr>
          <w:ilvl w:val="0"/>
          <w:numId w:val="0"/>
        </w:numPr>
        <w:rPr>
          <w:rFonts w:hint="default"/>
          <w:lang w:val="en-US" w:eastAsia="zh-CN"/>
        </w:rPr>
      </w:pPr>
    </w:p>
    <w:p>
      <w:pPr>
        <w:numPr>
          <w:ilvl w:val="0"/>
          <w:numId w:val="0"/>
        </w:numPr>
        <w:ind w:firstLine="640" w:firstLineChars="200"/>
        <w:rPr>
          <w:rFonts w:hint="eastAsia" w:ascii="仿宋_GB2312" w:hAnsi="仿宋_GB2312" w:eastAsia="仿宋_GB2312" w:cs="仿宋_GB2312"/>
          <w:sz w:val="32"/>
          <w:szCs w:val="40"/>
          <w:u w:val="none"/>
          <w:lang w:val="en-US" w:eastAsia="zh-CN"/>
        </w:rPr>
      </w:pPr>
    </w:p>
    <w:p>
      <w:pPr>
        <w:numPr>
          <w:ilvl w:val="0"/>
          <w:numId w:val="0"/>
        </w:numPr>
      </w:pPr>
    </w:p>
    <w:p>
      <w:pPr>
        <w:numPr>
          <w:ilvl w:val="0"/>
          <w:numId w:val="0"/>
        </w:numPr>
        <w:ind w:firstLine="420" w:firstLineChars="200"/>
        <w:rPr>
          <w:rFonts w:hint="default"/>
          <w:lang w:val="en-US" w:eastAsia="zh-CN"/>
        </w:rPr>
      </w:pPr>
    </w:p>
    <w:p>
      <w:pPr>
        <w:numPr>
          <w:ilvl w:val="0"/>
          <w:numId w:val="0"/>
        </w:numPr>
        <w:rPr>
          <w:rFonts w:hint="default"/>
          <w:lang w:val="en-US" w:eastAsia="zh-CN"/>
        </w:rPr>
      </w:pPr>
    </w:p>
    <w:p>
      <w:pPr>
        <w:numPr>
          <w:ilvl w:val="0"/>
          <w:numId w:val="0"/>
        </w:numPr>
        <w:ind w:firstLine="420" w:firstLineChars="200"/>
      </w:pPr>
    </w:p>
    <w:p>
      <w:pPr>
        <w:numPr>
          <w:ilvl w:val="0"/>
          <w:numId w:val="0"/>
        </w:numPr>
        <w:ind w:firstLine="420" w:firstLineChars="200"/>
        <w:rPr>
          <w:rFonts w:hint="default"/>
          <w:lang w:val="en-US" w:eastAsia="zh-CN"/>
        </w:rPr>
      </w:pPr>
    </w:p>
    <w:p>
      <w:pPr>
        <w:numPr>
          <w:ilvl w:val="0"/>
          <w:numId w:val="0"/>
        </w:numPr>
        <w:ind w:firstLine="420" w:firstLineChars="200"/>
        <w:rPr>
          <w:rFonts w:hint="default"/>
          <w:lang w:val="en-US" w:eastAsia="zh-CN"/>
        </w:rPr>
      </w:pPr>
    </w:p>
    <w:p>
      <w:pPr>
        <w:numPr>
          <w:ilvl w:val="0"/>
          <w:numId w:val="0"/>
        </w:numPr>
        <w:ind w:firstLine="420" w:firstLineChars="200"/>
      </w:pPr>
    </w:p>
    <w:p>
      <w:pPr>
        <w:numPr>
          <w:ilvl w:val="0"/>
          <w:numId w:val="0"/>
        </w:numPr>
        <w:ind w:firstLine="420" w:firstLineChars="200"/>
        <w:rPr>
          <w:rFonts w:hint="eastAsia"/>
          <w:lang w:val="en-US" w:eastAsia="zh-CN"/>
        </w:rPr>
      </w:pPr>
    </w:p>
    <w:p>
      <w:pPr>
        <w:numPr>
          <w:ilvl w:val="0"/>
          <w:numId w:val="0"/>
        </w:numPr>
        <w:ind w:firstLine="420" w:firstLineChars="200"/>
        <w:rPr>
          <w:rFonts w:hint="default"/>
          <w:lang w:val="en-US" w:eastAsia="zh-CN"/>
        </w:rPr>
      </w:pPr>
    </w:p>
    <w:p>
      <w:pPr>
        <w:numPr>
          <w:ilvl w:val="0"/>
          <w:numId w:val="0"/>
        </w:numPr>
        <w:ind w:firstLine="420" w:firstLineChars="200"/>
      </w:pPr>
    </w:p>
    <w:p>
      <w:pPr>
        <w:numPr>
          <w:ilvl w:val="0"/>
          <w:numId w:val="0"/>
        </w:numPr>
        <w:ind w:firstLine="420" w:firstLineChars="200"/>
        <w:rPr>
          <w:rFonts w:hint="eastAsia"/>
          <w:lang w:val="en-US" w:eastAsia="zh-CN"/>
        </w:rPr>
      </w:pPr>
    </w:p>
    <w:p>
      <w:pPr>
        <w:numPr>
          <w:ilvl w:val="0"/>
          <w:numId w:val="0"/>
        </w:numPr>
      </w:pPr>
    </w:p>
    <w:p>
      <w:pPr>
        <w:numPr>
          <w:ilvl w:val="0"/>
          <w:numId w:val="0"/>
        </w:numPr>
      </w:pPr>
    </w:p>
    <w:p>
      <w:pPr>
        <w:numPr>
          <w:ilvl w:val="0"/>
          <w:numId w:val="0"/>
        </w:numPr>
        <w:ind w:firstLine="420" w:firstLineChars="200"/>
        <w:rPr>
          <w:rFonts w:hint="eastAsia"/>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AAB2A4-2A2A-466D-939F-6C8ECCEF080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8C3F0D47-B135-4FD7-98D7-A5B30CDAA5D6}"/>
  </w:font>
  <w:font w:name="仿宋_GB2312">
    <w:panose1 w:val="02010609030101010101"/>
    <w:charset w:val="86"/>
    <w:family w:val="auto"/>
    <w:pitch w:val="default"/>
    <w:sig w:usb0="00000001" w:usb1="080E0000" w:usb2="00000000" w:usb3="00000000" w:csb0="00040000" w:csb1="00000000"/>
    <w:embedRegular r:id="rId3" w:fontKey="{BEE29F53-C0BF-472A-9DF6-3DB8B17267F6}"/>
  </w:font>
  <w:font w:name="楷体">
    <w:panose1 w:val="02010609060101010101"/>
    <w:charset w:val="86"/>
    <w:family w:val="auto"/>
    <w:pitch w:val="default"/>
    <w:sig w:usb0="800002BF" w:usb1="38CF7CFA" w:usb2="00000016" w:usb3="00000000" w:csb0="00040001" w:csb1="00000000"/>
    <w:embedRegular r:id="rId4" w:fontKey="{BD088E00-2225-45D9-ACD9-979796A9BA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E5ZmMyYzI1Mzg2NjU5MzgwMjM3NWFkODMwMTIifQ=="/>
  </w:docVars>
  <w:rsids>
    <w:rsidRoot w:val="00000000"/>
    <w:rsid w:val="00BE2BB9"/>
    <w:rsid w:val="012B7085"/>
    <w:rsid w:val="01507B82"/>
    <w:rsid w:val="018E53BB"/>
    <w:rsid w:val="01A21D3D"/>
    <w:rsid w:val="027C624F"/>
    <w:rsid w:val="02873BB9"/>
    <w:rsid w:val="02895B83"/>
    <w:rsid w:val="02BC1AB4"/>
    <w:rsid w:val="02FC45A7"/>
    <w:rsid w:val="03101E00"/>
    <w:rsid w:val="031C2553"/>
    <w:rsid w:val="03400B54"/>
    <w:rsid w:val="03646F3D"/>
    <w:rsid w:val="039E740C"/>
    <w:rsid w:val="03C00A66"/>
    <w:rsid w:val="03F4702C"/>
    <w:rsid w:val="04212517"/>
    <w:rsid w:val="0433224A"/>
    <w:rsid w:val="04602913"/>
    <w:rsid w:val="04B52C5F"/>
    <w:rsid w:val="04CC1F50"/>
    <w:rsid w:val="052120A3"/>
    <w:rsid w:val="054144F3"/>
    <w:rsid w:val="05551D4C"/>
    <w:rsid w:val="05614B95"/>
    <w:rsid w:val="058A5E9A"/>
    <w:rsid w:val="05AF76AE"/>
    <w:rsid w:val="05B922DB"/>
    <w:rsid w:val="05E355AA"/>
    <w:rsid w:val="06112117"/>
    <w:rsid w:val="063267C3"/>
    <w:rsid w:val="065D535C"/>
    <w:rsid w:val="068E19BA"/>
    <w:rsid w:val="06D131D5"/>
    <w:rsid w:val="06E4782C"/>
    <w:rsid w:val="07033C76"/>
    <w:rsid w:val="07035F04"/>
    <w:rsid w:val="076D7821"/>
    <w:rsid w:val="0782194D"/>
    <w:rsid w:val="07921036"/>
    <w:rsid w:val="079E5C2C"/>
    <w:rsid w:val="07CF4038"/>
    <w:rsid w:val="082500FC"/>
    <w:rsid w:val="08395955"/>
    <w:rsid w:val="08844E22"/>
    <w:rsid w:val="08964B56"/>
    <w:rsid w:val="08992218"/>
    <w:rsid w:val="08A61E8A"/>
    <w:rsid w:val="08E415BE"/>
    <w:rsid w:val="091F4B4B"/>
    <w:rsid w:val="098D5F59"/>
    <w:rsid w:val="099077F7"/>
    <w:rsid w:val="09A3752A"/>
    <w:rsid w:val="09C12402"/>
    <w:rsid w:val="09C77C21"/>
    <w:rsid w:val="09E638BB"/>
    <w:rsid w:val="0A1E12A6"/>
    <w:rsid w:val="0A1F6165"/>
    <w:rsid w:val="0A232419"/>
    <w:rsid w:val="0A3B59B5"/>
    <w:rsid w:val="0A3E6572"/>
    <w:rsid w:val="0A6842D0"/>
    <w:rsid w:val="0A9450C5"/>
    <w:rsid w:val="0ABF0394"/>
    <w:rsid w:val="0AF65D7F"/>
    <w:rsid w:val="0B116715"/>
    <w:rsid w:val="0B3643CE"/>
    <w:rsid w:val="0B440899"/>
    <w:rsid w:val="0B450AD4"/>
    <w:rsid w:val="0B4512CA"/>
    <w:rsid w:val="0B9F6417"/>
    <w:rsid w:val="0C4A635A"/>
    <w:rsid w:val="0C670CE3"/>
    <w:rsid w:val="0C886F8D"/>
    <w:rsid w:val="0CA737D5"/>
    <w:rsid w:val="0CDA7707"/>
    <w:rsid w:val="0CF86C25"/>
    <w:rsid w:val="0D096E88"/>
    <w:rsid w:val="0D4D5993"/>
    <w:rsid w:val="0D645222"/>
    <w:rsid w:val="0D662D48"/>
    <w:rsid w:val="0DCD726B"/>
    <w:rsid w:val="0E0B1B42"/>
    <w:rsid w:val="0E533D72"/>
    <w:rsid w:val="0E592DE1"/>
    <w:rsid w:val="0ECB5FCD"/>
    <w:rsid w:val="0EE914B1"/>
    <w:rsid w:val="0F0E7B3C"/>
    <w:rsid w:val="0F114F36"/>
    <w:rsid w:val="0F16254C"/>
    <w:rsid w:val="10284177"/>
    <w:rsid w:val="105F5922"/>
    <w:rsid w:val="10710382"/>
    <w:rsid w:val="108D4A90"/>
    <w:rsid w:val="10A51DDA"/>
    <w:rsid w:val="10B47C6B"/>
    <w:rsid w:val="110805BA"/>
    <w:rsid w:val="1111746F"/>
    <w:rsid w:val="111D5E14"/>
    <w:rsid w:val="11210FFD"/>
    <w:rsid w:val="112A0531"/>
    <w:rsid w:val="11943BFC"/>
    <w:rsid w:val="11DD1A47"/>
    <w:rsid w:val="12503FC7"/>
    <w:rsid w:val="128D6FC9"/>
    <w:rsid w:val="12EA441C"/>
    <w:rsid w:val="130C4392"/>
    <w:rsid w:val="1319085D"/>
    <w:rsid w:val="131E2317"/>
    <w:rsid w:val="13277FE5"/>
    <w:rsid w:val="136441CE"/>
    <w:rsid w:val="139F5206"/>
    <w:rsid w:val="13F07810"/>
    <w:rsid w:val="146C4041"/>
    <w:rsid w:val="14ED01F3"/>
    <w:rsid w:val="152D239E"/>
    <w:rsid w:val="156C2EC6"/>
    <w:rsid w:val="15791A87"/>
    <w:rsid w:val="15A93CEF"/>
    <w:rsid w:val="15C37E50"/>
    <w:rsid w:val="15DB629E"/>
    <w:rsid w:val="15E05662"/>
    <w:rsid w:val="161A6DC6"/>
    <w:rsid w:val="16315EBE"/>
    <w:rsid w:val="163210DD"/>
    <w:rsid w:val="164D719B"/>
    <w:rsid w:val="166149F5"/>
    <w:rsid w:val="16677B31"/>
    <w:rsid w:val="16972896"/>
    <w:rsid w:val="1719707D"/>
    <w:rsid w:val="17261EF7"/>
    <w:rsid w:val="17647476"/>
    <w:rsid w:val="17EA2680"/>
    <w:rsid w:val="17FF1CC1"/>
    <w:rsid w:val="181F06C4"/>
    <w:rsid w:val="18245CDA"/>
    <w:rsid w:val="183A3CF4"/>
    <w:rsid w:val="18420856"/>
    <w:rsid w:val="18587969"/>
    <w:rsid w:val="186C142F"/>
    <w:rsid w:val="188D1AD1"/>
    <w:rsid w:val="18C63235"/>
    <w:rsid w:val="18DE232D"/>
    <w:rsid w:val="19573E8D"/>
    <w:rsid w:val="19C01A32"/>
    <w:rsid w:val="19C07C84"/>
    <w:rsid w:val="19EA1AAC"/>
    <w:rsid w:val="19FA2868"/>
    <w:rsid w:val="1A393593"/>
    <w:rsid w:val="1A644AB4"/>
    <w:rsid w:val="1A970CFA"/>
    <w:rsid w:val="1AB64BE3"/>
    <w:rsid w:val="1AE16104"/>
    <w:rsid w:val="1AED4AA9"/>
    <w:rsid w:val="1B090C95"/>
    <w:rsid w:val="1B0F0EC3"/>
    <w:rsid w:val="1B245FF1"/>
    <w:rsid w:val="1B684130"/>
    <w:rsid w:val="1BBE6445"/>
    <w:rsid w:val="1C88109E"/>
    <w:rsid w:val="1C8D02C7"/>
    <w:rsid w:val="1C9225B5"/>
    <w:rsid w:val="1CA53161"/>
    <w:rsid w:val="1CE65C54"/>
    <w:rsid w:val="1CE912A0"/>
    <w:rsid w:val="1D315F33"/>
    <w:rsid w:val="1D5D0A93"/>
    <w:rsid w:val="1D7E40DE"/>
    <w:rsid w:val="1DD43CFE"/>
    <w:rsid w:val="1DE62869"/>
    <w:rsid w:val="1E796654"/>
    <w:rsid w:val="1E870D71"/>
    <w:rsid w:val="1E93334F"/>
    <w:rsid w:val="1EB27513"/>
    <w:rsid w:val="1EDD6BE3"/>
    <w:rsid w:val="1F0E4FEE"/>
    <w:rsid w:val="1F122D30"/>
    <w:rsid w:val="1F1F71FB"/>
    <w:rsid w:val="1F302CD6"/>
    <w:rsid w:val="1F947BE9"/>
    <w:rsid w:val="1F9574BD"/>
    <w:rsid w:val="1FF22B62"/>
    <w:rsid w:val="1FFE5062"/>
    <w:rsid w:val="2045139B"/>
    <w:rsid w:val="214967B1"/>
    <w:rsid w:val="219739C1"/>
    <w:rsid w:val="21D544E9"/>
    <w:rsid w:val="22082B79"/>
    <w:rsid w:val="220F17A9"/>
    <w:rsid w:val="22123047"/>
    <w:rsid w:val="224F1BA5"/>
    <w:rsid w:val="22602004"/>
    <w:rsid w:val="2268710B"/>
    <w:rsid w:val="226D64CF"/>
    <w:rsid w:val="22E83DA8"/>
    <w:rsid w:val="22F10EAE"/>
    <w:rsid w:val="231207FB"/>
    <w:rsid w:val="2331574F"/>
    <w:rsid w:val="234B10F5"/>
    <w:rsid w:val="23812740"/>
    <w:rsid w:val="23965625"/>
    <w:rsid w:val="23A67EEB"/>
    <w:rsid w:val="23E9602A"/>
    <w:rsid w:val="242E2C4F"/>
    <w:rsid w:val="24960973"/>
    <w:rsid w:val="24D665AE"/>
    <w:rsid w:val="24EA3E07"/>
    <w:rsid w:val="25205A7B"/>
    <w:rsid w:val="25627E42"/>
    <w:rsid w:val="25651C90"/>
    <w:rsid w:val="258E0C37"/>
    <w:rsid w:val="25981AB5"/>
    <w:rsid w:val="259A049B"/>
    <w:rsid w:val="25B34B41"/>
    <w:rsid w:val="25D0124F"/>
    <w:rsid w:val="25DA20CE"/>
    <w:rsid w:val="26113A73"/>
    <w:rsid w:val="26445423"/>
    <w:rsid w:val="26543C2E"/>
    <w:rsid w:val="26597496"/>
    <w:rsid w:val="268B047C"/>
    <w:rsid w:val="26A70DF5"/>
    <w:rsid w:val="26EB3E67"/>
    <w:rsid w:val="2705317A"/>
    <w:rsid w:val="273055DD"/>
    <w:rsid w:val="274912B9"/>
    <w:rsid w:val="274E68CF"/>
    <w:rsid w:val="27750300"/>
    <w:rsid w:val="278730C6"/>
    <w:rsid w:val="278B7B24"/>
    <w:rsid w:val="279A1B15"/>
    <w:rsid w:val="27A277B4"/>
    <w:rsid w:val="27AF38A8"/>
    <w:rsid w:val="27DC037F"/>
    <w:rsid w:val="285F46CD"/>
    <w:rsid w:val="28884063"/>
    <w:rsid w:val="2938171F"/>
    <w:rsid w:val="29695C42"/>
    <w:rsid w:val="299F78B6"/>
    <w:rsid w:val="29B80858"/>
    <w:rsid w:val="29D55086"/>
    <w:rsid w:val="29EA6657"/>
    <w:rsid w:val="2A1F4553"/>
    <w:rsid w:val="2A4346E5"/>
    <w:rsid w:val="2A697EC4"/>
    <w:rsid w:val="2A756869"/>
    <w:rsid w:val="2AD43392"/>
    <w:rsid w:val="2B0F6376"/>
    <w:rsid w:val="2B185788"/>
    <w:rsid w:val="2B604E23"/>
    <w:rsid w:val="2BAF7B59"/>
    <w:rsid w:val="2BBD04C8"/>
    <w:rsid w:val="2C7566AC"/>
    <w:rsid w:val="2C954FA0"/>
    <w:rsid w:val="2CCE2260"/>
    <w:rsid w:val="2CE13D42"/>
    <w:rsid w:val="2D197980"/>
    <w:rsid w:val="2D340315"/>
    <w:rsid w:val="2D560F91"/>
    <w:rsid w:val="2D7B4196"/>
    <w:rsid w:val="2D940D12"/>
    <w:rsid w:val="2D9447FA"/>
    <w:rsid w:val="2DEE4B40"/>
    <w:rsid w:val="2DFA397D"/>
    <w:rsid w:val="2E073C7C"/>
    <w:rsid w:val="2E206AEC"/>
    <w:rsid w:val="2E400F3C"/>
    <w:rsid w:val="2E8E614B"/>
    <w:rsid w:val="2E9A651F"/>
    <w:rsid w:val="2EA74B17"/>
    <w:rsid w:val="2F067B02"/>
    <w:rsid w:val="2F8B61E7"/>
    <w:rsid w:val="300246FB"/>
    <w:rsid w:val="30313232"/>
    <w:rsid w:val="30367D54"/>
    <w:rsid w:val="306233EC"/>
    <w:rsid w:val="30B05F05"/>
    <w:rsid w:val="30B33C47"/>
    <w:rsid w:val="313B2B55"/>
    <w:rsid w:val="31445AD2"/>
    <w:rsid w:val="31A35A6A"/>
    <w:rsid w:val="31C32959"/>
    <w:rsid w:val="31F12C79"/>
    <w:rsid w:val="31F6203D"/>
    <w:rsid w:val="327B0795"/>
    <w:rsid w:val="32931F82"/>
    <w:rsid w:val="32F742BF"/>
    <w:rsid w:val="332826CA"/>
    <w:rsid w:val="333252F7"/>
    <w:rsid w:val="3351295A"/>
    <w:rsid w:val="335B0688"/>
    <w:rsid w:val="33C137F8"/>
    <w:rsid w:val="34847DD4"/>
    <w:rsid w:val="34D76745"/>
    <w:rsid w:val="34EB1C02"/>
    <w:rsid w:val="35011425"/>
    <w:rsid w:val="35020CF9"/>
    <w:rsid w:val="350C5282"/>
    <w:rsid w:val="350D601C"/>
    <w:rsid w:val="35201724"/>
    <w:rsid w:val="35245113"/>
    <w:rsid w:val="353E75DF"/>
    <w:rsid w:val="3583008C"/>
    <w:rsid w:val="35897439"/>
    <w:rsid w:val="359009FB"/>
    <w:rsid w:val="3598340C"/>
    <w:rsid w:val="35A3428A"/>
    <w:rsid w:val="35DA1C76"/>
    <w:rsid w:val="35ED19A9"/>
    <w:rsid w:val="35EF74CF"/>
    <w:rsid w:val="36022C46"/>
    <w:rsid w:val="36266C69"/>
    <w:rsid w:val="36317AE8"/>
    <w:rsid w:val="36610694"/>
    <w:rsid w:val="36687282"/>
    <w:rsid w:val="3684230E"/>
    <w:rsid w:val="36B6623F"/>
    <w:rsid w:val="36BE4FD8"/>
    <w:rsid w:val="370527BE"/>
    <w:rsid w:val="370E11AC"/>
    <w:rsid w:val="371D3BBD"/>
    <w:rsid w:val="375021F0"/>
    <w:rsid w:val="375D2B5F"/>
    <w:rsid w:val="37643EED"/>
    <w:rsid w:val="377F4883"/>
    <w:rsid w:val="379C71E3"/>
    <w:rsid w:val="37B3277F"/>
    <w:rsid w:val="37DE5A4E"/>
    <w:rsid w:val="381E6CFA"/>
    <w:rsid w:val="381F1BC2"/>
    <w:rsid w:val="385B6E6D"/>
    <w:rsid w:val="38675A43"/>
    <w:rsid w:val="3868730C"/>
    <w:rsid w:val="38763ED8"/>
    <w:rsid w:val="38A345A1"/>
    <w:rsid w:val="395D23DA"/>
    <w:rsid w:val="39664A80"/>
    <w:rsid w:val="39671A73"/>
    <w:rsid w:val="39686128"/>
    <w:rsid w:val="39932868"/>
    <w:rsid w:val="39E66E3B"/>
    <w:rsid w:val="3A2D6818"/>
    <w:rsid w:val="3A4F49E1"/>
    <w:rsid w:val="3AA36ADA"/>
    <w:rsid w:val="3AA60379"/>
    <w:rsid w:val="3ABB3A2F"/>
    <w:rsid w:val="3AC64E44"/>
    <w:rsid w:val="3BBE148B"/>
    <w:rsid w:val="3C6E4EC6"/>
    <w:rsid w:val="3C8D1371"/>
    <w:rsid w:val="3CA32DC2"/>
    <w:rsid w:val="3CA37266"/>
    <w:rsid w:val="3CCF3BB7"/>
    <w:rsid w:val="3D115F7D"/>
    <w:rsid w:val="3D65451B"/>
    <w:rsid w:val="3DA54918"/>
    <w:rsid w:val="3E111FAD"/>
    <w:rsid w:val="3E4D52AC"/>
    <w:rsid w:val="3E5F0F6A"/>
    <w:rsid w:val="3E894239"/>
    <w:rsid w:val="3E927592"/>
    <w:rsid w:val="3E95498C"/>
    <w:rsid w:val="3EB85B99"/>
    <w:rsid w:val="3ED96F6F"/>
    <w:rsid w:val="3F021A95"/>
    <w:rsid w:val="3F0A537A"/>
    <w:rsid w:val="3F0C10F2"/>
    <w:rsid w:val="3F1A38CA"/>
    <w:rsid w:val="3F874C1D"/>
    <w:rsid w:val="3F8F587F"/>
    <w:rsid w:val="3F9B06C8"/>
    <w:rsid w:val="3FA61B8F"/>
    <w:rsid w:val="3FBA29AB"/>
    <w:rsid w:val="400C257F"/>
    <w:rsid w:val="400D3374"/>
    <w:rsid w:val="40512B35"/>
    <w:rsid w:val="409F7D44"/>
    <w:rsid w:val="40B31AAC"/>
    <w:rsid w:val="41270465"/>
    <w:rsid w:val="414B0737"/>
    <w:rsid w:val="415671A8"/>
    <w:rsid w:val="41650F8E"/>
    <w:rsid w:val="41923405"/>
    <w:rsid w:val="419401EB"/>
    <w:rsid w:val="41941738"/>
    <w:rsid w:val="41C2018E"/>
    <w:rsid w:val="422B7AE1"/>
    <w:rsid w:val="423050F8"/>
    <w:rsid w:val="42997141"/>
    <w:rsid w:val="431B2153"/>
    <w:rsid w:val="43252782"/>
    <w:rsid w:val="43324E9F"/>
    <w:rsid w:val="439711A6"/>
    <w:rsid w:val="440D17C7"/>
    <w:rsid w:val="444A301F"/>
    <w:rsid w:val="44703ED1"/>
    <w:rsid w:val="447A4D50"/>
    <w:rsid w:val="44A1052F"/>
    <w:rsid w:val="44D51F86"/>
    <w:rsid w:val="44DF4BB3"/>
    <w:rsid w:val="44F468B0"/>
    <w:rsid w:val="44F87A23"/>
    <w:rsid w:val="45147397"/>
    <w:rsid w:val="45246A6A"/>
    <w:rsid w:val="45921C25"/>
    <w:rsid w:val="45C17523"/>
    <w:rsid w:val="46277CE2"/>
    <w:rsid w:val="46535859"/>
    <w:rsid w:val="465810C1"/>
    <w:rsid w:val="47152B0E"/>
    <w:rsid w:val="47283DCB"/>
    <w:rsid w:val="475D7D2A"/>
    <w:rsid w:val="476D294A"/>
    <w:rsid w:val="477C493B"/>
    <w:rsid w:val="47A143A2"/>
    <w:rsid w:val="47CD5197"/>
    <w:rsid w:val="481B4154"/>
    <w:rsid w:val="48912668"/>
    <w:rsid w:val="48981928"/>
    <w:rsid w:val="489A151D"/>
    <w:rsid w:val="48D82045"/>
    <w:rsid w:val="48FF1386"/>
    <w:rsid w:val="49042FF5"/>
    <w:rsid w:val="49180694"/>
    <w:rsid w:val="49374FBE"/>
    <w:rsid w:val="495B01BA"/>
    <w:rsid w:val="497E2BEC"/>
    <w:rsid w:val="49A40179"/>
    <w:rsid w:val="49AE4F6E"/>
    <w:rsid w:val="49E669E4"/>
    <w:rsid w:val="49EC082B"/>
    <w:rsid w:val="4A1E7F2C"/>
    <w:rsid w:val="4A282B58"/>
    <w:rsid w:val="4A421E6C"/>
    <w:rsid w:val="4A655B5A"/>
    <w:rsid w:val="4A657B03"/>
    <w:rsid w:val="4A7933B4"/>
    <w:rsid w:val="4AA523FB"/>
    <w:rsid w:val="4ADF76BB"/>
    <w:rsid w:val="4B131EA1"/>
    <w:rsid w:val="4B3D45DA"/>
    <w:rsid w:val="4B6202EC"/>
    <w:rsid w:val="4C687565"/>
    <w:rsid w:val="4CFD2503"/>
    <w:rsid w:val="4D245859"/>
    <w:rsid w:val="4D2770F7"/>
    <w:rsid w:val="4D587BF8"/>
    <w:rsid w:val="4DA70238"/>
    <w:rsid w:val="4DB3544E"/>
    <w:rsid w:val="4DE82D2A"/>
    <w:rsid w:val="4E0631B0"/>
    <w:rsid w:val="4E165AE9"/>
    <w:rsid w:val="4E955C33"/>
    <w:rsid w:val="4F0C0C9A"/>
    <w:rsid w:val="4F3124AF"/>
    <w:rsid w:val="4FF43C08"/>
    <w:rsid w:val="4FFF25AD"/>
    <w:rsid w:val="5015592D"/>
    <w:rsid w:val="50B138A7"/>
    <w:rsid w:val="50C00651"/>
    <w:rsid w:val="50C335DB"/>
    <w:rsid w:val="50FB2D75"/>
    <w:rsid w:val="5124051D"/>
    <w:rsid w:val="51915487"/>
    <w:rsid w:val="51AC22C1"/>
    <w:rsid w:val="51DB6702"/>
    <w:rsid w:val="51F37EF0"/>
    <w:rsid w:val="521A1920"/>
    <w:rsid w:val="52EC70CB"/>
    <w:rsid w:val="531E0F9C"/>
    <w:rsid w:val="53334A48"/>
    <w:rsid w:val="533635C3"/>
    <w:rsid w:val="53394028"/>
    <w:rsid w:val="53654E1D"/>
    <w:rsid w:val="53733096"/>
    <w:rsid w:val="53F266B1"/>
    <w:rsid w:val="53F35F85"/>
    <w:rsid w:val="540E1C2C"/>
    <w:rsid w:val="544121AC"/>
    <w:rsid w:val="54422A68"/>
    <w:rsid w:val="545C7FCE"/>
    <w:rsid w:val="54617393"/>
    <w:rsid w:val="54745318"/>
    <w:rsid w:val="54890697"/>
    <w:rsid w:val="54DE5328"/>
    <w:rsid w:val="550261A7"/>
    <w:rsid w:val="550F7668"/>
    <w:rsid w:val="5543118E"/>
    <w:rsid w:val="55493437"/>
    <w:rsid w:val="55766E6E"/>
    <w:rsid w:val="558366DE"/>
    <w:rsid w:val="55897E28"/>
    <w:rsid w:val="559B68D4"/>
    <w:rsid w:val="55B160F8"/>
    <w:rsid w:val="55C027DF"/>
    <w:rsid w:val="565C42B5"/>
    <w:rsid w:val="56644ABE"/>
    <w:rsid w:val="569752EE"/>
    <w:rsid w:val="56AB0D99"/>
    <w:rsid w:val="56C65BD3"/>
    <w:rsid w:val="56C97471"/>
    <w:rsid w:val="56D45A92"/>
    <w:rsid w:val="56F97D56"/>
    <w:rsid w:val="5717642E"/>
    <w:rsid w:val="57236B81"/>
    <w:rsid w:val="572F127F"/>
    <w:rsid w:val="57362D58"/>
    <w:rsid w:val="5758598D"/>
    <w:rsid w:val="576553EC"/>
    <w:rsid w:val="57683096"/>
    <w:rsid w:val="578C2978"/>
    <w:rsid w:val="57B974E6"/>
    <w:rsid w:val="58360B36"/>
    <w:rsid w:val="583D0117"/>
    <w:rsid w:val="587846CB"/>
    <w:rsid w:val="5889335C"/>
    <w:rsid w:val="58A14202"/>
    <w:rsid w:val="58C148A4"/>
    <w:rsid w:val="58FA7DB6"/>
    <w:rsid w:val="58FB4535"/>
    <w:rsid w:val="591B0458"/>
    <w:rsid w:val="59262959"/>
    <w:rsid w:val="595A2602"/>
    <w:rsid w:val="59611BE3"/>
    <w:rsid w:val="597500F1"/>
    <w:rsid w:val="597C07CB"/>
    <w:rsid w:val="59EE77EA"/>
    <w:rsid w:val="5A0233C6"/>
    <w:rsid w:val="5A184997"/>
    <w:rsid w:val="5A44143E"/>
    <w:rsid w:val="5A753B98"/>
    <w:rsid w:val="5ADD786F"/>
    <w:rsid w:val="5AE42ACB"/>
    <w:rsid w:val="5B205558"/>
    <w:rsid w:val="5B353327"/>
    <w:rsid w:val="5BB66216"/>
    <w:rsid w:val="5BC00E43"/>
    <w:rsid w:val="5BC546AB"/>
    <w:rsid w:val="5BD112A2"/>
    <w:rsid w:val="5C8005D2"/>
    <w:rsid w:val="5CAA1F54"/>
    <w:rsid w:val="5CB309A7"/>
    <w:rsid w:val="5CC44962"/>
    <w:rsid w:val="5CE2303B"/>
    <w:rsid w:val="5D465377"/>
    <w:rsid w:val="5D7320AF"/>
    <w:rsid w:val="5DAE4F4D"/>
    <w:rsid w:val="5E2C6C63"/>
    <w:rsid w:val="5EE4364B"/>
    <w:rsid w:val="5EE74938"/>
    <w:rsid w:val="5EE94B54"/>
    <w:rsid w:val="5EE96902"/>
    <w:rsid w:val="5F4B3119"/>
    <w:rsid w:val="5F4C0C3F"/>
    <w:rsid w:val="5F702B80"/>
    <w:rsid w:val="5FA36AB1"/>
    <w:rsid w:val="600357A2"/>
    <w:rsid w:val="60261490"/>
    <w:rsid w:val="60383FDA"/>
    <w:rsid w:val="60A9459B"/>
    <w:rsid w:val="610A54D9"/>
    <w:rsid w:val="61320706"/>
    <w:rsid w:val="614B11AE"/>
    <w:rsid w:val="6152576D"/>
    <w:rsid w:val="61525904"/>
    <w:rsid w:val="61722BDF"/>
    <w:rsid w:val="61AD1E69"/>
    <w:rsid w:val="6200643D"/>
    <w:rsid w:val="6223212B"/>
    <w:rsid w:val="62257060"/>
    <w:rsid w:val="62314848"/>
    <w:rsid w:val="625B18C5"/>
    <w:rsid w:val="62816E52"/>
    <w:rsid w:val="62946B85"/>
    <w:rsid w:val="62B24A68"/>
    <w:rsid w:val="6300421A"/>
    <w:rsid w:val="630261E5"/>
    <w:rsid w:val="63136A25"/>
    <w:rsid w:val="632663B6"/>
    <w:rsid w:val="632717A7"/>
    <w:rsid w:val="63696264"/>
    <w:rsid w:val="63846BFA"/>
    <w:rsid w:val="63893B0B"/>
    <w:rsid w:val="639E415F"/>
    <w:rsid w:val="63A4104A"/>
    <w:rsid w:val="63EB6C79"/>
    <w:rsid w:val="6417181C"/>
    <w:rsid w:val="644D16E1"/>
    <w:rsid w:val="648140BB"/>
    <w:rsid w:val="64AF7CA6"/>
    <w:rsid w:val="64F16511"/>
    <w:rsid w:val="65424FBE"/>
    <w:rsid w:val="657C227E"/>
    <w:rsid w:val="657D7DA4"/>
    <w:rsid w:val="6586115D"/>
    <w:rsid w:val="65867999"/>
    <w:rsid w:val="659B022A"/>
    <w:rsid w:val="65DD280C"/>
    <w:rsid w:val="65FF4C5D"/>
    <w:rsid w:val="661221A0"/>
    <w:rsid w:val="661F2C0A"/>
    <w:rsid w:val="66246472"/>
    <w:rsid w:val="6632293D"/>
    <w:rsid w:val="666B23BE"/>
    <w:rsid w:val="667C62AE"/>
    <w:rsid w:val="6683763C"/>
    <w:rsid w:val="668F4233"/>
    <w:rsid w:val="66990C0E"/>
    <w:rsid w:val="66B75538"/>
    <w:rsid w:val="66BC48FC"/>
    <w:rsid w:val="66CC3515"/>
    <w:rsid w:val="66DC6D4D"/>
    <w:rsid w:val="66FB5425"/>
    <w:rsid w:val="670A185F"/>
    <w:rsid w:val="67861016"/>
    <w:rsid w:val="67A365F1"/>
    <w:rsid w:val="67A7735B"/>
    <w:rsid w:val="67B3016B"/>
    <w:rsid w:val="68106CAE"/>
    <w:rsid w:val="68151085"/>
    <w:rsid w:val="68A815DC"/>
    <w:rsid w:val="68AB69D7"/>
    <w:rsid w:val="68B12FF9"/>
    <w:rsid w:val="68B46EA7"/>
    <w:rsid w:val="68FD36D6"/>
    <w:rsid w:val="69201173"/>
    <w:rsid w:val="694806C9"/>
    <w:rsid w:val="698F00A6"/>
    <w:rsid w:val="69A54E4F"/>
    <w:rsid w:val="69A73642"/>
    <w:rsid w:val="69E46644"/>
    <w:rsid w:val="6ABC136F"/>
    <w:rsid w:val="6AEC48B0"/>
    <w:rsid w:val="6B2026ED"/>
    <w:rsid w:val="6B3D24B0"/>
    <w:rsid w:val="6B796A22"/>
    <w:rsid w:val="6B981494"/>
    <w:rsid w:val="6BAF4A30"/>
    <w:rsid w:val="6BB87D88"/>
    <w:rsid w:val="6BC24763"/>
    <w:rsid w:val="6BC26511"/>
    <w:rsid w:val="6BE776E3"/>
    <w:rsid w:val="6C1C5226"/>
    <w:rsid w:val="6C7F2654"/>
    <w:rsid w:val="6C8E0AE9"/>
    <w:rsid w:val="6D062D75"/>
    <w:rsid w:val="6D0A1AB9"/>
    <w:rsid w:val="6D192AA9"/>
    <w:rsid w:val="6D1C2C81"/>
    <w:rsid w:val="6D9914F3"/>
    <w:rsid w:val="6DA34155"/>
    <w:rsid w:val="6DC5053A"/>
    <w:rsid w:val="6E1312A6"/>
    <w:rsid w:val="6E250FD9"/>
    <w:rsid w:val="6E792DFE"/>
    <w:rsid w:val="6F0641DA"/>
    <w:rsid w:val="6F392F8E"/>
    <w:rsid w:val="6F7915DC"/>
    <w:rsid w:val="6F8306AD"/>
    <w:rsid w:val="6FA7614A"/>
    <w:rsid w:val="6FB16FC8"/>
    <w:rsid w:val="6FB22D40"/>
    <w:rsid w:val="6FD74C3F"/>
    <w:rsid w:val="6FFD7A64"/>
    <w:rsid w:val="70016354"/>
    <w:rsid w:val="702C2AF3"/>
    <w:rsid w:val="702F7EED"/>
    <w:rsid w:val="707D334E"/>
    <w:rsid w:val="70D32F6E"/>
    <w:rsid w:val="70F5678A"/>
    <w:rsid w:val="712E4649"/>
    <w:rsid w:val="713512D6"/>
    <w:rsid w:val="71687B5B"/>
    <w:rsid w:val="717402AD"/>
    <w:rsid w:val="718F3339"/>
    <w:rsid w:val="71D61BE2"/>
    <w:rsid w:val="71DE1F25"/>
    <w:rsid w:val="72031631"/>
    <w:rsid w:val="7278201F"/>
    <w:rsid w:val="727C6062"/>
    <w:rsid w:val="72800ED4"/>
    <w:rsid w:val="72C139C6"/>
    <w:rsid w:val="72C30BCC"/>
    <w:rsid w:val="72E17BC5"/>
    <w:rsid w:val="731F693F"/>
    <w:rsid w:val="7327134F"/>
    <w:rsid w:val="734463A5"/>
    <w:rsid w:val="735B43D2"/>
    <w:rsid w:val="738E7178"/>
    <w:rsid w:val="73A40BF2"/>
    <w:rsid w:val="740B2A1F"/>
    <w:rsid w:val="74100036"/>
    <w:rsid w:val="742835D1"/>
    <w:rsid w:val="7476433D"/>
    <w:rsid w:val="748C590E"/>
    <w:rsid w:val="74F14041"/>
    <w:rsid w:val="750000AA"/>
    <w:rsid w:val="75226272"/>
    <w:rsid w:val="75355FA6"/>
    <w:rsid w:val="753F6E24"/>
    <w:rsid w:val="75481509"/>
    <w:rsid w:val="758F1B5A"/>
    <w:rsid w:val="75BA46FD"/>
    <w:rsid w:val="75BF3AC1"/>
    <w:rsid w:val="75E023B5"/>
    <w:rsid w:val="75E55C1E"/>
    <w:rsid w:val="76053BCA"/>
    <w:rsid w:val="760836BA"/>
    <w:rsid w:val="7640418E"/>
    <w:rsid w:val="764364A0"/>
    <w:rsid w:val="76801238"/>
    <w:rsid w:val="76962A74"/>
    <w:rsid w:val="76A01B45"/>
    <w:rsid w:val="76AA651F"/>
    <w:rsid w:val="76AF1D88"/>
    <w:rsid w:val="7709745B"/>
    <w:rsid w:val="771B11CB"/>
    <w:rsid w:val="7791148D"/>
    <w:rsid w:val="77BC475C"/>
    <w:rsid w:val="77D9530E"/>
    <w:rsid w:val="77ED2B68"/>
    <w:rsid w:val="78153E6C"/>
    <w:rsid w:val="78340796"/>
    <w:rsid w:val="786C6182"/>
    <w:rsid w:val="788838B1"/>
    <w:rsid w:val="78A054C2"/>
    <w:rsid w:val="78A376CA"/>
    <w:rsid w:val="78A53442"/>
    <w:rsid w:val="78A551F0"/>
    <w:rsid w:val="78E421BD"/>
    <w:rsid w:val="7902455C"/>
    <w:rsid w:val="79260EC0"/>
    <w:rsid w:val="796450AB"/>
    <w:rsid w:val="7985373C"/>
    <w:rsid w:val="79BA4CCB"/>
    <w:rsid w:val="79F47D0C"/>
    <w:rsid w:val="79F510D6"/>
    <w:rsid w:val="79FE72AE"/>
    <w:rsid w:val="7B0B1DCF"/>
    <w:rsid w:val="7B31720F"/>
    <w:rsid w:val="7B450F0D"/>
    <w:rsid w:val="7B4707E1"/>
    <w:rsid w:val="7B8C08E9"/>
    <w:rsid w:val="7BA72A30"/>
    <w:rsid w:val="7BB8348D"/>
    <w:rsid w:val="7C18217D"/>
    <w:rsid w:val="7C1C1C6D"/>
    <w:rsid w:val="7C4B4301"/>
    <w:rsid w:val="7C581C80"/>
    <w:rsid w:val="7C9F63FA"/>
    <w:rsid w:val="7CA12173"/>
    <w:rsid w:val="7CC87042"/>
    <w:rsid w:val="7D1D0ACD"/>
    <w:rsid w:val="7D5471E5"/>
    <w:rsid w:val="7DFF1847"/>
    <w:rsid w:val="7E4D4360"/>
    <w:rsid w:val="7E7612F4"/>
    <w:rsid w:val="7E857F9E"/>
    <w:rsid w:val="7E971A7F"/>
    <w:rsid w:val="7ED405DD"/>
    <w:rsid w:val="7F692316"/>
    <w:rsid w:val="7F8F169F"/>
    <w:rsid w:val="7F983D01"/>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ind w:firstLine="420" w:firstLineChars="200"/>
      <w:jc w:val="left"/>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chart" Target="charts/chart49.xml"/><Relationship Id="rId53" Type="http://schemas.openxmlformats.org/officeDocument/2006/relationships/chart" Target="charts/chart48.xml"/><Relationship Id="rId52" Type="http://schemas.openxmlformats.org/officeDocument/2006/relationships/chart" Target="charts/chart47.xml"/><Relationship Id="rId51" Type="http://schemas.openxmlformats.org/officeDocument/2006/relationships/chart" Target="charts/chart46.xml"/><Relationship Id="rId50" Type="http://schemas.openxmlformats.org/officeDocument/2006/relationships/chart" Target="charts/chart45.xml"/><Relationship Id="rId5" Type="http://schemas.openxmlformats.org/officeDocument/2006/relationships/theme" Target="theme/theme1.xml"/><Relationship Id="rId49" Type="http://schemas.openxmlformats.org/officeDocument/2006/relationships/chart" Target="charts/chart44.xml"/><Relationship Id="rId48" Type="http://schemas.openxmlformats.org/officeDocument/2006/relationships/chart" Target="charts/chart43.xml"/><Relationship Id="rId47" Type="http://schemas.openxmlformats.org/officeDocument/2006/relationships/chart" Target="charts/chart42.xml"/><Relationship Id="rId46" Type="http://schemas.openxmlformats.org/officeDocument/2006/relationships/chart" Target="charts/chart41.xml"/><Relationship Id="rId45" Type="http://schemas.openxmlformats.org/officeDocument/2006/relationships/chart" Target="charts/chart40.xml"/><Relationship Id="rId44" Type="http://schemas.openxmlformats.org/officeDocument/2006/relationships/chart" Target="charts/chart39.xml"/><Relationship Id="rId43" Type="http://schemas.openxmlformats.org/officeDocument/2006/relationships/chart" Target="charts/chart38.xml"/><Relationship Id="rId42" Type="http://schemas.openxmlformats.org/officeDocument/2006/relationships/chart" Target="charts/chart37.xml"/><Relationship Id="rId41" Type="http://schemas.openxmlformats.org/officeDocument/2006/relationships/chart" Target="charts/chart36.xml"/><Relationship Id="rId40" Type="http://schemas.openxmlformats.org/officeDocument/2006/relationships/chart" Target="charts/chart35.xml"/><Relationship Id="rId4" Type="http://schemas.openxmlformats.org/officeDocument/2006/relationships/footer" Target="footer2.xml"/><Relationship Id="rId39" Type="http://schemas.openxmlformats.org/officeDocument/2006/relationships/chart" Target="charts/chart34.xml"/><Relationship Id="rId38" Type="http://schemas.openxmlformats.org/officeDocument/2006/relationships/chart" Target="charts/chart33.xml"/><Relationship Id="rId37" Type="http://schemas.openxmlformats.org/officeDocument/2006/relationships/chart" Target="charts/chart32.xml"/><Relationship Id="rId36" Type="http://schemas.openxmlformats.org/officeDocument/2006/relationships/chart" Target="charts/chart31.xml"/><Relationship Id="rId35" Type="http://schemas.openxmlformats.org/officeDocument/2006/relationships/chart" Target="charts/chart30.xml"/><Relationship Id="rId34" Type="http://schemas.openxmlformats.org/officeDocument/2006/relationships/chart" Target="charts/chart29.xml"/><Relationship Id="rId33" Type="http://schemas.openxmlformats.org/officeDocument/2006/relationships/chart" Target="charts/chart28.xml"/><Relationship Id="rId32" Type="http://schemas.openxmlformats.org/officeDocument/2006/relationships/chart" Target="charts/chart27.xml"/><Relationship Id="rId31" Type="http://schemas.openxmlformats.org/officeDocument/2006/relationships/chart" Target="charts/chart26.xml"/><Relationship Id="rId30" Type="http://schemas.openxmlformats.org/officeDocument/2006/relationships/chart" Target="charts/chart25.xml"/><Relationship Id="rId3" Type="http://schemas.openxmlformats.org/officeDocument/2006/relationships/footer" Target="footer1.xml"/><Relationship Id="rId29" Type="http://schemas.openxmlformats.org/officeDocument/2006/relationships/chart" Target="charts/chart24.xml"/><Relationship Id="rId28" Type="http://schemas.openxmlformats.org/officeDocument/2006/relationships/chart" Target="charts/chart23.xml"/><Relationship Id="rId27" Type="http://schemas.openxmlformats.org/officeDocument/2006/relationships/chart" Target="charts/chart22.xml"/><Relationship Id="rId26" Type="http://schemas.openxmlformats.org/officeDocument/2006/relationships/chart" Target="charts/chart21.xml"/><Relationship Id="rId25" Type="http://schemas.openxmlformats.org/officeDocument/2006/relationships/chart" Target="charts/chart20.xml"/><Relationship Id="rId24" Type="http://schemas.openxmlformats.org/officeDocument/2006/relationships/chart" Target="charts/chart19.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fang.com\Desktop\&#20844;&#25253;\22&#20844;&#25253;&#25968;&#25454;-&#21069;&#19977;&#37096;&#20998;.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fang.com\Desktop\&#20844;&#25253;\22&#20844;&#25253;&#25968;&#25454;-&#21069;&#19977;&#37096;&#20998;.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fang.com\Desktop\&#25253;&#38144;\8&#26376;&#25253;&#38144;\22&#20844;&#25253;&#25968;&#25454;-&#21069;&#19977;&#37096;&#20998;0919.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fang.com\Desktop\&#20844;&#25253;\22&#20844;&#25253;&#25968;&#25454;-&#21069;&#19977;&#37096;&#20998;091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fang.com\Desktop\&#20844;&#25253;\22&#20844;&#25253;&#25968;&#25454;-&#21069;&#19977;&#37096;&#20998;0915.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fang.com\Desktop\&#20844;&#25253;\22&#20844;&#25253;&#25968;&#25454;-&#21069;&#19977;&#37096;&#20998;091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fang.com\Desktop\&#20844;&#25253;\22&#20844;&#25253;&#25968;&#25454;-&#21069;&#19977;&#37096;&#20998;0915.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fang.com\Desktop\&#20844;&#25253;\22&#20844;&#25253;&#25968;&#25454;-&#21069;&#19977;&#37096;&#20998;091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fang.com\Desktop\&#20844;&#25253;\22&#20844;&#25253;&#25968;&#25454;-&#21069;&#19977;&#37096;&#20998;.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fang.com\Desktop\&#20844;&#25253;\22&#20844;&#25253;&#25968;&#25454;-&#21069;&#19977;&#37096;&#20998;0915.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fang.com\Desktop\&#20844;&#25253;\22&#20844;&#25253;&#25968;&#25454;-&#21069;&#19977;&#37096;&#20998;0915.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fang.com\Desktop\&#20844;&#25253;\22&#20844;&#25253;&#25968;&#25454;-&#21069;&#19977;&#37096;&#20998;0915.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fang.com\Desktop\&#25253;&#38144;\8&#26376;&#25253;&#38144;\22&#20844;&#25253;&#25968;&#25454;-&#21069;&#19977;&#37096;&#20998;0919.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fang.com\Desktop\&#20844;&#25253;\22&#20844;&#25253;&#25968;&#25454;-&#21069;&#19977;&#37096;&#20998;.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fang.com\Desktop\&#20844;&#25253;\22&#20844;&#25253;&#25968;&#25454;-&#21069;&#19977;&#37096;&#20998;0915.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fang.com\Desktop\&#20844;&#25253;\22&#20844;&#25253;&#25968;&#25454;-&#21069;&#19977;&#37096;&#20998;0915.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fang.com\Desktop\&#20844;&#25253;\22&#20844;&#25253;&#25968;&#25454;-&#21069;&#19977;&#37096;&#20998;091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unive\Desktop\22&#20844;&#25253;&#25968;&#25454;-&#21069;&#19977;&#37096;&#20998;.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fang.com\Desktop\&#20844;&#25253;\22&#24180;&#20844;&#25253;&#22270;&#34920;&#22235;&#20116;&#20845;&#37096;&#20998;%20091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fang.com\Desktop\&#20844;&#25253;\22&#24180;&#20844;&#25253;&#22270;&#34920;&#22235;&#20116;&#20845;&#37096;&#20998;.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fang.com\Desktop\&#20844;&#25253;\22&#24180;&#20844;&#25253;&#22270;&#34920;&#22235;&#20116;&#20845;&#37096;&#20998;.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fang.com\Desktop\&#20844;&#25253;\22&#24180;&#20844;&#25253;&#22270;&#34920;&#22235;&#20116;&#20845;&#37096;&#20998;%20091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fang.com\Desktop\&#20844;&#25253;\22&#24180;&#20844;&#25253;&#22270;&#34920;&#22235;&#20116;&#20845;&#37096;&#20998;%200915.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fang.com\Desktop\&#20844;&#25253;\22&#24180;&#20844;&#25253;&#22270;&#34920;&#22235;&#20116;&#20845;&#37096;&#20998;%200915.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fang.com\Desktop\&#20844;&#25253;\22&#24180;&#20844;&#25253;&#22270;&#34920;&#22235;&#20116;&#20845;&#37096;&#20998;.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fang.com\Desktop\&#20844;&#25253;\22&#24180;&#20844;&#25253;&#22270;&#34920;&#22235;&#20116;&#20845;&#37096;&#20998;%200915.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fang.com\Desktop\&#20844;&#25253;\22&#24180;&#20844;&#25253;&#22270;&#34920;&#22235;&#20116;&#20845;&#37096;&#20998;%200915.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fang.com\Desktop\&#20844;&#25253;\22&#24180;&#20844;&#25253;&#22270;&#34920;&#22235;&#20116;&#20845;&#37096;&#20998;.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fang.com\Desktop\&#20844;&#25253;\22&#24180;&#20844;&#25253;&#22270;&#34920;&#22235;&#20116;&#20845;&#37096;&#20998;.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fang.com\Desktop\&#20844;&#25253;\22&#20844;&#25253;&#25968;&#25454;-&#21069;&#19977;&#37096;&#20998;.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fang.com\Desktop\&#20844;&#25253;\22&#24180;&#20844;&#25253;&#22270;&#34920;&#22235;&#20116;&#20845;&#37096;&#20998;%200915.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fang.com\Desktop\&#20844;&#25253;\22&#24180;&#20844;&#25253;&#22270;&#34920;&#22235;&#20116;&#20845;&#37096;&#20998;%200915.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fang.com\Desktop\&#20844;&#25253;\22&#24180;&#20844;&#25253;&#22270;&#34920;&#22235;&#20116;&#20845;&#37096;&#20998;.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fang.com\Desktop\&#20844;&#25253;\22&#24180;&#20844;&#25253;&#22270;&#34920;&#22235;&#20116;&#20845;&#37096;&#20998;.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fang.com\Desktop\&#20844;&#25253;\22&#24180;&#20844;&#25253;&#22270;&#34920;&#22235;&#20116;&#20845;&#37096;&#20998;%200915.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fang.com\Desktop\&#20844;&#25253;\22&#24180;&#20844;&#25253;&#22270;&#34920;&#22235;&#20116;&#20845;&#37096;&#20998;.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fang.com\Desktop\&#20844;&#25253;\22&#24180;&#20844;&#25253;&#22270;&#34920;&#22235;&#20116;&#20845;&#37096;&#20998;%200915.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fang.com\Desktop\&#20844;&#25253;\22&#24180;&#20844;&#25253;&#22270;&#34920;&#22235;&#20116;&#20845;&#37096;&#20998;.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fang.com\Desktop\&#20844;&#25253;\22&#24180;&#20844;&#25253;&#22270;&#34920;&#22235;&#20116;&#20845;&#37096;&#20998;%200915.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fang.com\Desktop\&#20844;&#25253;\22&#24180;&#20844;&#25253;&#22270;&#34920;&#22235;&#20116;&#20845;&#37096;&#20998;.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fang.com\Desktop\&#20844;&#25253;\22&#20844;&#25253;&#25968;&#25454;-&#21069;&#19977;&#37096;&#20998;.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fang.com\Desktop\&#20844;&#25253;\22&#20844;&#25253;&#25968;&#25454;-&#21069;&#19977;&#37096;&#20998;.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fang.com\Documents\WeChat%20Files\wxid_7686646866912\FileStorage\File\2023-09\22&#20844;&#25253;&#25968;&#25454;-&#21069;&#19977;&#37096;&#20998;0915.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unive\Desktop\22&#20844;&#25253;&#25968;&#25454;-&#21069;&#19977;&#37096;&#2099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年城市建成区面积及同比变化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2399113282664"/>
          <c:y val="0.0151042731547741"/>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"城市建成区面积"</c:f>
              <c:strCache>
                <c:ptCount val="1"/>
                <c:pt idx="0">
                  <c:v>城市建成区面积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'[22公报数据-前三部分0915.xlsx]建成区面积'!$A$5:$A$14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'[22公报数据-前三部分0915.xlsx]建成区面积'!$C$5:$C$14</c:f>
              <c:numCache>
                <c:formatCode>0.00_ </c:formatCode>
                <c:ptCount val="10"/>
                <c:pt idx="0">
                  <c:v>4.78553</c:v>
                </c:pt>
                <c:pt idx="1">
                  <c:v>4.977263</c:v>
                </c:pt>
                <c:pt idx="2">
                  <c:v>5.210231</c:v>
                </c:pt>
                <c:pt idx="3">
                  <c:v>5.433147</c:v>
                </c:pt>
                <c:pt idx="4">
                  <c:v>5.62254</c:v>
                </c:pt>
                <c:pt idx="5">
                  <c:v>5.845566</c:v>
                </c:pt>
                <c:pt idx="6">
                  <c:v>6.031245</c:v>
                </c:pt>
                <c:pt idx="7">
                  <c:v>6.072132</c:v>
                </c:pt>
                <c:pt idx="8">
                  <c:v>6.242053</c:v>
                </c:pt>
                <c:pt idx="9">
                  <c:v>6.36764</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5400" cap="rnd">
              <a:solidFill>
                <a:srgbClr val="002060"/>
              </a:solidFill>
              <a:round/>
            </a:ln>
            <a:effectLst/>
            <a:sp3d contourW="25400"/>
          </c:spPr>
          <c:marker>
            <c:symbol val="circle"/>
            <c:size val="5"/>
            <c:spPr>
              <a:solidFill>
                <a:schemeClr val="bg1"/>
              </a:solidFill>
              <a:ln w="9525">
                <a:solidFill>
                  <a:srgbClr val="002060"/>
                </a:solidFill>
              </a:ln>
              <a:effectLst/>
            </c:spPr>
          </c:marker>
          <c:dLbls>
            <c:delete val="1"/>
          </c:dLbls>
          <c:cat>
            <c:numRef>
              <c:f>'[22公报数据-前三部分0915.xlsx]建成区面积'!$A$5:$A$14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'[22公报数据-前三部分0915.xlsx]建成区面积'!$D$5:$D$14</c:f>
              <c:numCache>
                <c:formatCode>0.00%</c:formatCode>
                <c:ptCount val="10"/>
                <c:pt idx="0">
                  <c:v>0.0502460178467183</c:v>
                </c:pt>
                <c:pt idx="1">
                  <c:v>0.0400651547477497</c:v>
                </c:pt>
                <c:pt idx="2">
                  <c:v>0.0468064476399981</c:v>
                </c:pt>
                <c:pt idx="3">
                  <c:v>0.0427842834607526</c:v>
                </c:pt>
                <c:pt idx="4">
                  <c:v>0.0348588028264283</c:v>
                </c:pt>
                <c:pt idx="5">
                  <c:v>0.0396664141117717</c:v>
                </c:pt>
                <c:pt idx="6">
                  <c:v>0.0317640755403323</c:v>
                </c:pt>
                <c:pt idx="7">
                  <c:v>0.00677919732990451</c:v>
                </c:pt>
                <c:pt idx="8">
                  <c:v>0.0279837460713963</c:v>
                </c:pt>
                <c:pt idx="9">
                  <c:v>0.0201195023496274</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4"/>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万平方公里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majorUnit val="0.02"/>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01851794976795"/>
          <c:y val="0.1512706035459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年全国分省（区、市）和新疆兵团实际到位资金合计</a:t>
            </a:r>
            <a:endParaRPr lang="en-US" altLang="zh-CN" sz="1200">
              <a:solidFill>
                <a:sysClr val="windowText" lastClr="000000"/>
              </a:solidFill>
            </a:endParaRPr>
          </a:p>
        </c:rich>
      </c:tx>
      <c:layout>
        <c:manualLayout>
          <c:xMode val="edge"/>
          <c:yMode val="edge"/>
          <c:x val="0.186093994238856"/>
          <c:y val="0.00888362451880367"/>
        </c:manualLayout>
      </c:layout>
      <c:overlay val="0"/>
      <c:spPr>
        <a:noFill/>
        <a:ln>
          <a:noFill/>
        </a:ln>
        <a:effectLst/>
      </c:spPr>
    </c:title>
    <c:autoTitleDeleted val="0"/>
    <c:plotArea>
      <c:layout>
        <c:manualLayout>
          <c:layoutTarget val="inner"/>
          <c:xMode val="edge"/>
          <c:yMode val="edge"/>
          <c:x val="0.119590361445783"/>
          <c:y val="0.170874496889865"/>
          <c:w val="0.854867469879518"/>
          <c:h val="0.494109037687523"/>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'[22公报数据-前三部分.xlsx]资金来源'!$A$32:$A$63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'[22公报数据-前三部分.xlsx]资金来源'!$D$32:$D$63</c:f>
              <c:numCache>
                <c:formatCode>0_ </c:formatCode>
                <c:ptCount val="32"/>
                <c:pt idx="0">
                  <c:v>1226.8215</c:v>
                </c:pt>
                <c:pt idx="1">
                  <c:v>452.2051</c:v>
                </c:pt>
                <c:pt idx="2">
                  <c:v>1061.2434</c:v>
                </c:pt>
                <c:pt idx="3">
                  <c:v>447.7849</c:v>
                </c:pt>
                <c:pt idx="4">
                  <c:v>208.2931</c:v>
                </c:pt>
                <c:pt idx="5">
                  <c:v>264.1158</c:v>
                </c:pt>
                <c:pt idx="6">
                  <c:v>431.7986</c:v>
                </c:pt>
                <c:pt idx="7">
                  <c:v>284.879</c:v>
                </c:pt>
                <c:pt idx="8">
                  <c:v>537.7062</c:v>
                </c:pt>
                <c:pt idx="9">
                  <c:v>2219.572</c:v>
                </c:pt>
                <c:pt idx="10">
                  <c:v>2198.28768</c:v>
                </c:pt>
                <c:pt idx="11">
                  <c:v>1467.2198</c:v>
                </c:pt>
                <c:pt idx="12">
                  <c:v>836.8868</c:v>
                </c:pt>
                <c:pt idx="13">
                  <c:v>1208.7104</c:v>
                </c:pt>
                <c:pt idx="14">
                  <c:v>1615.4661</c:v>
                </c:pt>
                <c:pt idx="15">
                  <c:v>1006.59328</c:v>
                </c:pt>
                <c:pt idx="16">
                  <c:v>1298.3791</c:v>
                </c:pt>
                <c:pt idx="17">
                  <c:v>848.7815</c:v>
                </c:pt>
                <c:pt idx="18">
                  <c:v>1991.4199</c:v>
                </c:pt>
                <c:pt idx="19">
                  <c:v>343.8335</c:v>
                </c:pt>
                <c:pt idx="20">
                  <c:v>123.6765</c:v>
                </c:pt>
                <c:pt idx="21">
                  <c:v>1448.8263</c:v>
                </c:pt>
                <c:pt idx="22">
                  <c:v>1991.6846</c:v>
                </c:pt>
                <c:pt idx="23">
                  <c:v>802.9099</c:v>
                </c:pt>
                <c:pt idx="24">
                  <c:v>310.5211</c:v>
                </c:pt>
                <c:pt idx="25">
                  <c:v>76.9506</c:v>
                </c:pt>
                <c:pt idx="26">
                  <c:v>1242.9149</c:v>
                </c:pt>
                <c:pt idx="27">
                  <c:v>350.0886</c:v>
                </c:pt>
                <c:pt idx="28">
                  <c:v>61.3645</c:v>
                </c:pt>
                <c:pt idx="29">
                  <c:v>42.7248</c:v>
                </c:pt>
                <c:pt idx="30">
                  <c:v>291.2842</c:v>
                </c:pt>
                <c:pt idx="31">
                  <c:v>50.3144</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亿元</a:t>
                </a:r>
              </a:p>
            </c:rich>
          </c:tx>
          <c:layout>
            <c:manualLayout>
              <c:xMode val="edge"/>
              <c:yMode val="edge"/>
              <c:x val="0.0142867857318401"/>
              <c:y val="0.291572697917736"/>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年全国城市人均日生活用水量</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1944444444444"/>
          <c:y val="0.00972762645914397"/>
        </c:manualLayout>
      </c:layout>
      <c:overlay val="0"/>
      <c:spPr>
        <a:noFill/>
        <a:ln>
          <a:noFill/>
        </a:ln>
        <a:effectLst/>
      </c:spPr>
    </c:title>
    <c:autoTitleDeleted val="0"/>
    <c:plotArea>
      <c:layout>
        <c:manualLayout>
          <c:layoutTarget val="inner"/>
          <c:xMode val="edge"/>
          <c:yMode val="edge"/>
          <c:x val="0.0978611111111111"/>
          <c:y val="0.142671854734112"/>
          <c:w val="0.856583333333333"/>
          <c:h val="0.709273670557717"/>
        </c:manualLayout>
      </c:layout>
      <c:barChart>
        <c:barDir val="col"/>
        <c:grouping val="clustered"/>
        <c:varyColors val="0"/>
        <c:ser>
          <c:idx val="1"/>
          <c:order val="0"/>
          <c:spPr>
            <a:solidFill>
              <a:srgbClr val="C00000"/>
            </a:solidFill>
            <a:ln>
              <a:noFill/>
            </a:ln>
            <a:effectLst/>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'[22公报数据-前三部分0915.xlsx]人均日生活用水量'!$A$5:$A$14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'[22公报数据-前三部分0915.xlsx]人均日生活用水量'!$C$5:$C$14</c:f>
              <c:numCache>
                <c:formatCode>#,##0.00_ </c:formatCode>
                <c:ptCount val="10"/>
                <c:pt idx="0">
                  <c:v>173.51</c:v>
                </c:pt>
                <c:pt idx="1">
                  <c:v>173.73</c:v>
                </c:pt>
                <c:pt idx="2">
                  <c:v>174.46</c:v>
                </c:pt>
                <c:pt idx="3">
                  <c:v>176.86</c:v>
                </c:pt>
                <c:pt idx="4">
                  <c:v>178.89</c:v>
                </c:pt>
                <c:pt idx="5">
                  <c:v>179.736542465425</c:v>
                </c:pt>
                <c:pt idx="6">
                  <c:v>179.965286964322</c:v>
                </c:pt>
                <c:pt idx="7">
                  <c:v>179.395736536233</c:v>
                </c:pt>
                <c:pt idx="8">
                  <c:v>185.03</c:v>
                </c:pt>
                <c:pt idx="9" c:formatCode="#,##0.00">
                  <c:v>184.732041558371</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升</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年全国城市供水普及率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52926820423557"/>
          <c:y val="0.0222602739726028"/>
        </c:manualLayout>
      </c:layout>
      <c:overlay val="0"/>
      <c:spPr>
        <a:noFill/>
        <a:ln>
          <a:noFill/>
        </a:ln>
        <a:effectLst/>
      </c:spPr>
    </c:title>
    <c:autoTitleDeleted val="0"/>
    <c:plotArea>
      <c:layout>
        <c:manualLayout>
          <c:layoutTarget val="inner"/>
          <c:xMode val="edge"/>
          <c:yMode val="edge"/>
          <c:x val="0.0892950391644909"/>
          <c:y val="0.135373934995267"/>
          <c:w val="0.886916158978822"/>
          <c:h val="0.694351530451246"/>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'[22公报数据-前三部分0915.xlsx]城市供水普及率'!$A$5:$A$14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'[22公报数据-前三部分0915.xlsx]城市供水普及率'!$C$5:$C$14</c:f>
              <c:numCache>
                <c:formatCode>0.00%</c:formatCode>
                <c:ptCount val="10"/>
                <c:pt idx="0">
                  <c:v>0.9756</c:v>
                </c:pt>
                <c:pt idx="1">
                  <c:v>0.9764</c:v>
                </c:pt>
                <c:pt idx="2">
                  <c:v>0.9807</c:v>
                </c:pt>
                <c:pt idx="3">
                  <c:v>0.9842</c:v>
                </c:pt>
                <c:pt idx="4">
                  <c:v>0.983</c:v>
                </c:pt>
                <c:pt idx="5">
                  <c:v>0.983555978176296</c:v>
                </c:pt>
                <c:pt idx="6">
                  <c:v>0.987836254855425</c:v>
                </c:pt>
                <c:pt idx="7">
                  <c:v>0.989851935235709</c:v>
                </c:pt>
                <c:pt idx="8">
                  <c:v>0.993792068083718</c:v>
                </c:pt>
                <c:pt idx="9">
                  <c:v>0.993868450686223</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年全国分省（区、市）和新疆兵团城市人均生活用水量</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7275782033378"/>
          <c:y val="0.00897934750074828"/>
        </c:manualLayout>
      </c:layout>
      <c:overlay val="0"/>
      <c:spPr>
        <a:noFill/>
        <a:ln>
          <a:noFill/>
        </a:ln>
        <a:effectLst/>
      </c:spPr>
    </c:title>
    <c:autoTitleDeleted val="0"/>
    <c:plotArea>
      <c:layout>
        <c:manualLayout>
          <c:layoutTarget val="inner"/>
          <c:xMode val="edge"/>
          <c:yMode val="edge"/>
          <c:x val="0.0840380677026864"/>
          <c:y val="0.284275503573749"/>
          <c:w val="0.886808818214673"/>
          <c:h val="0.41825860948668"/>
        </c:manualLayout>
      </c:layout>
      <c:barChart>
        <c:barDir val="col"/>
        <c:grouping val="clustered"/>
        <c:varyColors val="0"/>
        <c:ser>
          <c:idx val="0"/>
          <c:order val="0"/>
          <c:tx>
            <c:strRef>
              <c:f>"城市人均日生活用水量"</c:f>
              <c:strCache>
                <c:ptCount val="1"/>
                <c:pt idx="0">
                  <c:v>城市人均日生活用水量</c:v>
                </c:pt>
              </c:strCache>
            </c:strRef>
          </c:tx>
          <c:spPr>
            <a:solidFill>
              <a:srgbClr val="C00000"/>
            </a:solidFill>
            <a:ln>
              <a:noFill/>
            </a:ln>
            <a:effectLst/>
          </c:spPr>
          <c:invertIfNegative val="0"/>
          <c:dLbls>
            <c:numFmt formatCode="#,##0_);[Red]\(#,##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'[22公报数据-前三部分.xlsx]人均日生活用水量'!$B$22:$B$53</c:f>
              <c:numCache>
                <c:formatCode>#,##0</c:formatCode>
                <c:ptCount val="32"/>
                <c:pt idx="0">
                  <c:v>163.220662236184</c:v>
                </c:pt>
                <c:pt idx="1">
                  <c:v>122.808031422088</c:v>
                </c:pt>
                <c:pt idx="2">
                  <c:v>123.311768542268</c:v>
                </c:pt>
                <c:pt idx="3">
                  <c:v>136.521884767322</c:v>
                </c:pt>
                <c:pt idx="4">
                  <c:v>119.250942247026</c:v>
                </c:pt>
                <c:pt idx="5">
                  <c:v>155.813673202129</c:v>
                </c:pt>
                <c:pt idx="6">
                  <c:v>121.833719681276</c:v>
                </c:pt>
                <c:pt idx="7">
                  <c:v>127.277769382881</c:v>
                </c:pt>
                <c:pt idx="8">
                  <c:v>207.038498457203</c:v>
                </c:pt>
                <c:pt idx="9">
                  <c:v>211.537843155996</c:v>
                </c:pt>
                <c:pt idx="10">
                  <c:v>215.04746677654</c:v>
                </c:pt>
                <c:pt idx="11">
                  <c:v>194.310747270593</c:v>
                </c:pt>
                <c:pt idx="12">
                  <c:v>228.884254516827</c:v>
                </c:pt>
                <c:pt idx="13">
                  <c:v>222.481531050281</c:v>
                </c:pt>
                <c:pt idx="14">
                  <c:v>126.223523087528</c:v>
                </c:pt>
                <c:pt idx="15">
                  <c:v>139.892445016342</c:v>
                </c:pt>
                <c:pt idx="16">
                  <c:v>199.925983794044</c:v>
                </c:pt>
                <c:pt idx="17">
                  <c:v>217.072670008733</c:v>
                </c:pt>
                <c:pt idx="18">
                  <c:v>241.528626505063</c:v>
                </c:pt>
                <c:pt idx="19">
                  <c:v>273.730054519907</c:v>
                </c:pt>
                <c:pt idx="20">
                  <c:v>287.036704201799</c:v>
                </c:pt>
                <c:pt idx="21">
                  <c:v>180.765093631878</c:v>
                </c:pt>
                <c:pt idx="22">
                  <c:v>195.314117250846</c:v>
                </c:pt>
                <c:pt idx="23">
                  <c:v>175.802597707365</c:v>
                </c:pt>
                <c:pt idx="24">
                  <c:v>186.592995591083</c:v>
                </c:pt>
                <c:pt idx="25">
                  <c:v>245.664583390035</c:v>
                </c:pt>
                <c:pt idx="26">
                  <c:v>162.504350788613</c:v>
                </c:pt>
                <c:pt idx="27">
                  <c:v>138.878655808321</c:v>
                </c:pt>
                <c:pt idx="28">
                  <c:v>174.902945775156</c:v>
                </c:pt>
                <c:pt idx="29">
                  <c:v>165.80214179602</c:v>
                </c:pt>
                <c:pt idx="30">
                  <c:v>158.885978459255</c:v>
                </c:pt>
                <c:pt idx="31">
                  <c:v>207.814765246832</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"全国城市人均日生活用水量184.7升"</c:f>
              <c:strCache>
                <c:ptCount val="1"/>
                <c:pt idx="0">
                  <c:v>全国城市人均日生活用水量184.7升</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'[22公报数据-前三部分.xlsx]人均日生活用水量'!$D$22:$D$53</c:f>
              <c:numCache>
                <c:formatCode>#,##0.00</c:formatCode>
                <c:ptCount val="32"/>
                <c:pt idx="0">
                  <c:v>184.732041558371</c:v>
                </c:pt>
                <c:pt idx="1">
                  <c:v>184.732041558371</c:v>
                </c:pt>
                <c:pt idx="2">
                  <c:v>184.732041558371</c:v>
                </c:pt>
                <c:pt idx="3">
                  <c:v>184.732041558371</c:v>
                </c:pt>
                <c:pt idx="4">
                  <c:v>184.732041558371</c:v>
                </c:pt>
                <c:pt idx="5">
                  <c:v>184.732041558371</c:v>
                </c:pt>
                <c:pt idx="6">
                  <c:v>184.732041558371</c:v>
                </c:pt>
                <c:pt idx="7">
                  <c:v>184.732041558371</c:v>
                </c:pt>
                <c:pt idx="8">
                  <c:v>184.732041558371</c:v>
                </c:pt>
                <c:pt idx="9">
                  <c:v>184.732041558371</c:v>
                </c:pt>
                <c:pt idx="10">
                  <c:v>184.732041558371</c:v>
                </c:pt>
                <c:pt idx="11">
                  <c:v>184.732041558371</c:v>
                </c:pt>
                <c:pt idx="12">
                  <c:v>184.732041558371</c:v>
                </c:pt>
                <c:pt idx="13">
                  <c:v>184.732041558371</c:v>
                </c:pt>
                <c:pt idx="14">
                  <c:v>184.732041558371</c:v>
                </c:pt>
                <c:pt idx="15">
                  <c:v>184.732041558371</c:v>
                </c:pt>
                <c:pt idx="16">
                  <c:v>184.732041558371</c:v>
                </c:pt>
                <c:pt idx="17">
                  <c:v>184.732041558371</c:v>
                </c:pt>
                <c:pt idx="18">
                  <c:v>184.732041558371</c:v>
                </c:pt>
                <c:pt idx="19">
                  <c:v>184.732041558371</c:v>
                </c:pt>
                <c:pt idx="20">
                  <c:v>184.732041558371</c:v>
                </c:pt>
                <c:pt idx="21">
                  <c:v>184.732041558371</c:v>
                </c:pt>
                <c:pt idx="22">
                  <c:v>184.732041558371</c:v>
                </c:pt>
                <c:pt idx="23">
                  <c:v>184.732041558371</c:v>
                </c:pt>
                <c:pt idx="24">
                  <c:v>184.732041558371</c:v>
                </c:pt>
                <c:pt idx="25">
                  <c:v>184.732041558371</c:v>
                </c:pt>
                <c:pt idx="26">
                  <c:v>184.732041558371</c:v>
                </c:pt>
                <c:pt idx="27">
                  <c:v>184.732041558371</c:v>
                </c:pt>
                <c:pt idx="28">
                  <c:v>184.732041558371</c:v>
                </c:pt>
                <c:pt idx="29">
                  <c:v>184.732041558371</c:v>
                </c:pt>
                <c:pt idx="30">
                  <c:v>184.732041558371</c:v>
                </c:pt>
                <c:pt idx="31">
                  <c:v>184.732041558371</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升</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25876010781671"/>
          <c:y val="0.12452720395693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年全国分省（区、市）和新疆兵团城市供水普及率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5743589926187"/>
          <c:y val="0.00872854233343033"/>
        </c:manualLayout>
      </c:layout>
      <c:overlay val="0"/>
      <c:spPr>
        <a:noFill/>
        <a:ln>
          <a:noFill/>
        </a:ln>
        <a:effectLst/>
      </c:spPr>
    </c:title>
    <c:autoTitleDeleted val="0"/>
    <c:plotArea>
      <c:layout>
        <c:manualLayout>
          <c:layoutTarget val="inner"/>
          <c:xMode val="edge"/>
          <c:yMode val="edge"/>
          <c:x val="0.0755212727491864"/>
          <c:y val="0.297024442082891"/>
          <c:w val="0.872773291551163"/>
          <c:h val="0.43634431455898"/>
        </c:manualLayout>
      </c:layout>
      <c:barChart>
        <c:barDir val="col"/>
        <c:grouping val="clustered"/>
        <c:varyColors val="0"/>
        <c:ser>
          <c:idx val="0"/>
          <c:order val="0"/>
          <c:tx>
            <c:strRef>
              <c:f>"城市供水普及率"</c:f>
              <c:strCache>
                <c:ptCount val="1"/>
                <c:pt idx="0">
                  <c:v>城市供水普及率</c:v>
                </c:pt>
              </c:strCache>
            </c:strRef>
          </c:tx>
          <c:spPr>
            <a:solidFill>
              <a:srgbClr val="C00000"/>
            </a:solidFill>
            <a:ln>
              <a:noFill/>
            </a:ln>
            <a:effectLst/>
          </c:spPr>
          <c:invertIfNegative val="0"/>
          <c:dLbls>
            <c:dLbl>
              <c:idx val="1"/>
              <c:layout/>
              <c:tx>
                <c:rich>
                  <a:bodyPr rot="0" spcFirstLastPara="0" vertOverflow="ellipsis" vert="eaVert" wrap="square" lIns="38100" tIns="19050" rIns="38100" bIns="19050" anchor="ctr" anchorCtr="1"/>
                  <a:lstStyle/>
                  <a:p>
                    <a:pPr defTabSz="914400">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100.0</a:t>
                    </a:r>
                    <a:r>
                      <a:t> </a:t>
                    </a:r>
                  </a:p>
                </c:rich>
              </c:tx>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2"/>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8"/>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9"/>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10"/>
              <c:layout/>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dLbl>
              <c:idx val="18"/>
              <c:layout/>
              <c:tx>
                <c:rich>
                  <a:bodyPr rot="0" spcFirstLastPara="0" vertOverflow="ellipsis" vert="eaVert" wrap="square" lIns="38100" tIns="19050" rIns="38100" bIns="19050" anchor="ctr" anchorCtr="1"/>
                  <a:lstStyle/>
                  <a:p>
                    <a:pPr defTabSz="914400">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900"/>
                      <a:t>99.7</a:t>
                    </a:r>
                    <a:r>
                      <a:rPr sz="900"/>
                      <a:t> </a:t>
                    </a:r>
                    <a:endParaRPr sz="900"/>
                  </a:p>
                </c:rich>
              </c:tx>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extLst>
                <c:ext xmlns:c15="http://schemas.microsoft.com/office/drawing/2012/chart" uri="{CE6537A1-D6FC-4f65-9D91-7224C49458BB}"/>
              </c:extLst>
            </c:dLbl>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eparator>;</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'[22公报数据-前三部分0919.xlsx]建成区面积'!$A$31:$A$62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'[22公报数据-前三部分0919.xlsx]城市供水普及率'!$B$22:$B$53</c:f>
              <c:numCache>
                <c:formatCode>#,##0.0</c:formatCode>
                <c:ptCount val="32"/>
                <c:pt idx="0">
                  <c:v>99.8123170221665</c:v>
                </c:pt>
                <c:pt idx="1">
                  <c:v>100</c:v>
                </c:pt>
                <c:pt idx="2">
                  <c:v>100</c:v>
                </c:pt>
                <c:pt idx="3">
                  <c:v>98.6555422750318</c:v>
                </c:pt>
                <c:pt idx="4">
                  <c:v>99.6965033769343</c:v>
                </c:pt>
                <c:pt idx="5">
                  <c:v>98.9932713983195</c:v>
                </c:pt>
                <c:pt idx="6">
                  <c:v>96.4572409826363</c:v>
                </c:pt>
                <c:pt idx="7">
                  <c:v>99.1043670279222</c:v>
                </c:pt>
                <c:pt idx="8">
                  <c:v>100</c:v>
                </c:pt>
                <c:pt idx="9">
                  <c:v>100</c:v>
                </c:pt>
                <c:pt idx="10">
                  <c:v>100</c:v>
                </c:pt>
                <c:pt idx="11">
                  <c:v>99.7596412005666</c:v>
                </c:pt>
                <c:pt idx="12">
                  <c:v>99.9</c:v>
                </c:pt>
                <c:pt idx="13">
                  <c:v>99.3682792386492</c:v>
                </c:pt>
                <c:pt idx="14">
                  <c:v>99.9220537396162</c:v>
                </c:pt>
                <c:pt idx="15">
                  <c:v>99.3034429221828</c:v>
                </c:pt>
                <c:pt idx="16">
                  <c:v>99.9297446979844</c:v>
                </c:pt>
                <c:pt idx="17">
                  <c:v>99.0071997359409</c:v>
                </c:pt>
                <c:pt idx="18">
                  <c:v>99.7381834260569</c:v>
                </c:pt>
                <c:pt idx="19">
                  <c:v>99.9107992833959</c:v>
                </c:pt>
                <c:pt idx="20">
                  <c:v>99.9</c:v>
                </c:pt>
                <c:pt idx="21">
                  <c:v>98.574343122102</c:v>
                </c:pt>
                <c:pt idx="22">
                  <c:v>97.1790796340563</c:v>
                </c:pt>
                <c:pt idx="23">
                  <c:v>98.8842077545915</c:v>
                </c:pt>
                <c:pt idx="24">
                  <c:v>99.007273806873</c:v>
                </c:pt>
                <c:pt idx="25">
                  <c:v>99.6976647206005</c:v>
                </c:pt>
                <c:pt idx="26">
                  <c:v>98.2522056163202</c:v>
                </c:pt>
                <c:pt idx="27">
                  <c:v>99.5025166803231</c:v>
                </c:pt>
                <c:pt idx="28">
                  <c:v>99.5695503672858</c:v>
                </c:pt>
                <c:pt idx="29">
                  <c:v>99.9</c:v>
                </c:pt>
                <c:pt idx="30">
                  <c:v>99.6987142807095</c:v>
                </c:pt>
                <c:pt idx="31">
                  <c:v>97.8829277119334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"全国城市供水普及率99.4%"</c:f>
              <c:strCache>
                <c:ptCount val="1"/>
                <c:pt idx="0">
                  <c:v>全国城市供水普及率99.4%</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'[22公报数据-前三部分0919.xlsx]城市供水普及率'!$D$22:$D$53</c:f>
              <c:numCache>
                <c:formatCode>#,##0.0</c:formatCode>
                <c:ptCount val="32"/>
                <c:pt idx="0">
                  <c:v>99.38</c:v>
                </c:pt>
                <c:pt idx="1">
                  <c:v>99.38</c:v>
                </c:pt>
                <c:pt idx="2">
                  <c:v>99.38</c:v>
                </c:pt>
                <c:pt idx="3">
                  <c:v>99.38</c:v>
                </c:pt>
                <c:pt idx="4">
                  <c:v>99.38</c:v>
                </c:pt>
                <c:pt idx="5">
                  <c:v>99.38</c:v>
                </c:pt>
                <c:pt idx="6">
                  <c:v>99.38</c:v>
                </c:pt>
                <c:pt idx="7">
                  <c:v>99.38</c:v>
                </c:pt>
                <c:pt idx="8">
                  <c:v>99.38</c:v>
                </c:pt>
                <c:pt idx="9">
                  <c:v>99.38</c:v>
                </c:pt>
                <c:pt idx="10">
                  <c:v>99.38</c:v>
                </c:pt>
                <c:pt idx="11">
                  <c:v>99.38</c:v>
                </c:pt>
                <c:pt idx="12">
                  <c:v>99.38</c:v>
                </c:pt>
                <c:pt idx="13">
                  <c:v>99.38</c:v>
                </c:pt>
                <c:pt idx="14">
                  <c:v>99.38</c:v>
                </c:pt>
                <c:pt idx="15">
                  <c:v>99.38</c:v>
                </c:pt>
                <c:pt idx="16">
                  <c:v>99.38</c:v>
                </c:pt>
                <c:pt idx="17">
                  <c:v>99.38</c:v>
                </c:pt>
                <c:pt idx="18">
                  <c:v>99.38</c:v>
                </c:pt>
                <c:pt idx="19">
                  <c:v>99.38</c:v>
                </c:pt>
                <c:pt idx="20">
                  <c:v>99.38</c:v>
                </c:pt>
                <c:pt idx="21">
                  <c:v>99.38</c:v>
                </c:pt>
                <c:pt idx="22">
                  <c:v>99.38</c:v>
                </c:pt>
                <c:pt idx="23">
                  <c:v>99.38</c:v>
                </c:pt>
                <c:pt idx="24">
                  <c:v>99.38</c:v>
                </c:pt>
                <c:pt idx="25">
                  <c:v>99.38</c:v>
                </c:pt>
                <c:pt idx="26">
                  <c:v>99.38</c:v>
                </c:pt>
                <c:pt idx="27">
                  <c:v>99.38</c:v>
                </c:pt>
                <c:pt idx="28">
                  <c:v>99.38</c:v>
                </c:pt>
                <c:pt idx="29">
                  <c:v>99.38</c:v>
                </c:pt>
                <c:pt idx="30">
                  <c:v>99.38</c:v>
                </c:pt>
                <c:pt idx="31">
                  <c:v>99.38</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95"/>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60646900269542"/>
          <c:y val="0.081941706708016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年城市人工煤气供气总量及同比变化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59013441378867"/>
        </c:manualLayout>
      </c:layout>
      <c:overlay val="0"/>
      <c:spPr>
        <a:noFill/>
        <a:ln>
          <a:noFill/>
        </a:ln>
        <a:effectLst/>
      </c:spPr>
    </c:title>
    <c:autoTitleDeleted val="0"/>
    <c:plotArea>
      <c:layout>
        <c:manualLayout>
          <c:layoutTarget val="inner"/>
          <c:xMode val="edge"/>
          <c:yMode val="edge"/>
          <c:x val="0.0875963749492763"/>
          <c:y val="0.171827411167513"/>
          <c:w val="0.833193561477073"/>
          <c:h val="0.709492385786802"/>
        </c:manualLayout>
      </c:layout>
      <c:barChart>
        <c:barDir val="col"/>
        <c:grouping val="clustered"/>
        <c:varyColors val="0"/>
        <c:ser>
          <c:idx val="1"/>
          <c:order val="0"/>
          <c:tx>
            <c:strRef>
              <c:f>"城市人工煤气供气总量"</c:f>
              <c:strCache>
                <c:ptCount val="1"/>
                <c:pt idx="0">
                  <c:v>城市人工煤气供气总量</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'[22公报数据-前三部分0915.xlsx]燃气供气总量'!$A$5:$A$14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'[22公报数据-前三部分0915.xlsx]燃气供气总量'!$C$5:$C$14</c:f>
              <c:numCache>
                <c:formatCode>0.00_ </c:formatCode>
                <c:ptCount val="10"/>
                <c:pt idx="0">
                  <c:v>62.7989</c:v>
                </c:pt>
                <c:pt idx="1">
                  <c:v>55.951269</c:v>
                </c:pt>
                <c:pt idx="2">
                  <c:v>47.137801</c:v>
                </c:pt>
                <c:pt idx="3">
                  <c:v>44.0944</c:v>
                </c:pt>
                <c:pt idx="4">
                  <c:v>27.0882</c:v>
                </c:pt>
                <c:pt idx="5">
                  <c:v>29.7893</c:v>
                </c:pt>
                <c:pt idx="6">
                  <c:v>27.684147</c:v>
                </c:pt>
                <c:pt idx="7">
                  <c:v>23.144726</c:v>
                </c:pt>
                <c:pt idx="8">
                  <c:v>18.723418</c:v>
                </c:pt>
                <c:pt idx="9">
                  <c:v>18.144971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'[22公报数据-前三部分0915.xlsx]燃气供气总量'!$A$5:$A$14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'[22公报数据-前三部分0915.xlsx]燃气供气总量'!$D$5:$D$14</c:f>
              <c:numCache>
                <c:formatCode>0.00%</c:formatCode>
                <c:ptCount val="10"/>
                <c:pt idx="0">
                  <c:v>-0.184097151305857</c:v>
                </c:pt>
                <c:pt idx="1">
                  <c:v>-0.109040620138251</c:v>
                </c:pt>
                <c:pt idx="2">
                  <c:v>-0.157520430859218</c:v>
                </c:pt>
                <c:pt idx="3">
                  <c:v>-0.064563915486851</c:v>
                </c:pt>
                <c:pt idx="4">
                  <c:v>-0.385677092782757</c:v>
                </c:pt>
                <c:pt idx="5">
                  <c:v>0.0997150050575528</c:v>
                </c:pt>
                <c:pt idx="6">
                  <c:v>-0.07066809223446</c:v>
                </c:pt>
                <c:pt idx="7">
                  <c:v>-0.163971857251011</c:v>
                </c:pt>
                <c:pt idx="8">
                  <c:v>-0.191028746678617</c:v>
                </c:pt>
                <c:pt idx="9">
                  <c:v>-0.030894305729862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亿立方米</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593534424456"/>
          <c:y val="0.0987309644670051"/>
          <c:w val="0.470309752468551"/>
          <c:h val="0.08147208121827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年城市天然气供气总量及同比变化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88257393267279"/>
          <c:y val="0.0251141552511416"/>
        </c:manualLayout>
      </c:layout>
      <c:overlay val="0"/>
      <c:spPr>
        <a:noFill/>
        <a:ln>
          <a:noFill/>
        </a:ln>
        <a:effectLst/>
      </c:spPr>
    </c:title>
    <c:autoTitleDeleted val="0"/>
    <c:plotArea>
      <c:layout>
        <c:manualLayout>
          <c:layoutTarget val="inner"/>
          <c:xMode val="edge"/>
          <c:yMode val="edge"/>
          <c:x val="0.111888888888889"/>
          <c:y val="0.220319634703196"/>
          <c:w val="0.815111111111111"/>
          <c:h val="0.649942922374429"/>
        </c:manualLayout>
      </c:layout>
      <c:barChart>
        <c:barDir val="col"/>
        <c:grouping val="clustered"/>
        <c:varyColors val="0"/>
        <c:ser>
          <c:idx val="1"/>
          <c:order val="0"/>
          <c:tx>
            <c:strRef>
              <c:f>"城市天然气供气总量"</c:f>
              <c:strCache>
                <c:ptCount val="1"/>
                <c:pt idx="0">
                  <c:v>城市天然气供气总量</c:v>
                </c:pt>
              </c:strCache>
            </c:strRef>
          </c:tx>
          <c:spPr>
            <a:solidFill>
              <a:srgbClr val="C00000"/>
            </a:solidFill>
            <a:ln>
              <a:noFill/>
            </a:ln>
            <a:effectLst/>
          </c:spPr>
          <c:invertIfNegative val="0"/>
          <c:dLbls>
            <c:dLbl>
              <c:idx val="8"/>
              <c:layout>
                <c:manualLayout>
                  <c:x val="-0.01375"/>
                  <c:y val="0.0128424657534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63888888888889"/>
                  <c:y val="0.006563926940639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'[22公报数据-前三部分0915.xlsx]燃气供气总量'!$A$25:$A$34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'[22公报数据-前三部分0915.xlsx]燃气供气总量'!$C$25:$C$34</c:f>
              <c:numCache>
                <c:formatCode>0.00_ </c:formatCode>
                <c:ptCount val="10"/>
                <c:pt idx="0">
                  <c:v>888.2417</c:v>
                </c:pt>
                <c:pt idx="1">
                  <c:v>964.378286</c:v>
                </c:pt>
                <c:pt idx="2">
                  <c:v>1040.79062</c:v>
                </c:pt>
                <c:pt idx="3">
                  <c:v>1171.7186</c:v>
                </c:pt>
                <c:pt idx="4">
                  <c:v>1263.754572</c:v>
                </c:pt>
                <c:pt idx="5">
                  <c:v>1443.953789</c:v>
                </c:pt>
                <c:pt idx="6">
                  <c:v>1527.9409376</c:v>
                </c:pt>
                <c:pt idx="7">
                  <c:v>1563.701969</c:v>
                </c:pt>
                <c:pt idx="8">
                  <c:v>1721.061247</c:v>
                </c:pt>
                <c:pt idx="9">
                  <c:v>1767.700677</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'[22公报数据-前三部分0915.xlsx]燃气供气总量'!$A$25:$A$34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'[22公报数据-前三部分0915.xlsx]燃气供气总量'!$D$25:$D$34</c:f>
              <c:numCache>
                <c:formatCode>0.00%</c:formatCode>
                <c:ptCount val="10"/>
                <c:pt idx="0">
                  <c:v>0.117232176537037</c:v>
                </c:pt>
                <c:pt idx="1">
                  <c:v>0.0857160680476947</c:v>
                </c:pt>
                <c:pt idx="2">
                  <c:v>0.079234813878835</c:v>
                </c:pt>
                <c:pt idx="3">
                  <c:v>0.125796656391849</c:v>
                </c:pt>
                <c:pt idx="4">
                  <c:v>0.0785478458735742</c:v>
                </c:pt>
                <c:pt idx="5">
                  <c:v>0.142590358122162</c:v>
                </c:pt>
                <c:pt idx="6">
                  <c:v>0.0581647066823134</c:v>
                </c:pt>
                <c:pt idx="7">
                  <c:v>0.0234047210333739</c:v>
                </c:pt>
                <c:pt idx="8">
                  <c:v>0.100632525327466</c:v>
                </c:pt>
                <c:pt idx="9">
                  <c:v>0.0270992273408617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5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亿立方米</a:t>
                </a:r>
                <a:endParaRPr altLang="en-US"/>
              </a:p>
            </c:rich>
          </c:tx>
          <c:layout>
            <c:manualLayout>
              <c:xMode val="edge"/>
              <c:yMode val="edge"/>
              <c:x val="0.00416666666666667"/>
              <c:y val="0.422859589041096"/>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044882481993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年城市液化石油气供气总量及同比变化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1371996485168"/>
          <c:y val="0.015894439967768"/>
        </c:manualLayout>
      </c:layout>
      <c:overlay val="0"/>
      <c:spPr>
        <a:noFill/>
        <a:ln>
          <a:noFill/>
        </a:ln>
        <a:effectLst/>
      </c:spPr>
    </c:title>
    <c:autoTitleDeleted val="0"/>
    <c:plotArea>
      <c:layout>
        <c:manualLayout>
          <c:layoutTarget val="inner"/>
          <c:xMode val="edge"/>
          <c:yMode val="edge"/>
          <c:x val="0.115083333333333"/>
          <c:y val="0.171232876712329"/>
          <c:w val="0.796361111111111"/>
          <c:h val="0.711301369863014"/>
        </c:manualLayout>
      </c:layout>
      <c:barChart>
        <c:barDir val="col"/>
        <c:grouping val="clustered"/>
        <c:varyColors val="0"/>
        <c:ser>
          <c:idx val="1"/>
          <c:order val="0"/>
          <c:tx>
            <c:strRef>
              <c:f>"城市液化石油气供气总量"</c:f>
              <c:strCache>
                <c:ptCount val="1"/>
                <c:pt idx="0">
                  <c:v>城市液化石油气供气总量</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'[22公报数据-前三部分0915.xlsx]燃气供气总量'!$A$45:$A$54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'[22公报数据-前三部分0915.xlsx]燃气供气总量'!$C$45:$C$54</c:f>
              <c:numCache>
                <c:formatCode>0.00_ </c:formatCode>
                <c:ptCount val="10"/>
                <c:pt idx="0">
                  <c:v>1109.7298</c:v>
                </c:pt>
                <c:pt idx="1">
                  <c:v>1082.849026</c:v>
                </c:pt>
                <c:pt idx="2">
                  <c:v>1039.216892</c:v>
                </c:pt>
                <c:pt idx="3">
                  <c:v>1078.804185</c:v>
                </c:pt>
                <c:pt idx="4">
                  <c:v>998.808822</c:v>
                </c:pt>
                <c:pt idx="5">
                  <c:v>1015.329777</c:v>
                </c:pt>
                <c:pt idx="6">
                  <c:v>922.717939</c:v>
                </c:pt>
                <c:pt idx="7">
                  <c:v>833.710906</c:v>
                </c:pt>
                <c:pt idx="8">
                  <c:v>860.684058</c:v>
                </c:pt>
                <c:pt idx="9">
                  <c:v>758.458586</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'[22公报数据-前三部分0915.xlsx]燃气供气总量'!$A$45:$A$54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'[22公报数据-前三部分0915.xlsx]燃气供气总量'!$D$45:$D$54</c:f>
              <c:numCache>
                <c:formatCode>0.00%</c:formatCode>
                <c:ptCount val="10"/>
                <c:pt idx="0">
                  <c:v>-0.00455093777987003</c:v>
                </c:pt>
                <c:pt idx="1">
                  <c:v>-0.0242228099128274</c:v>
                </c:pt>
                <c:pt idx="2">
                  <c:v>-0.0402938294742485</c:v>
                </c:pt>
                <c:pt idx="3">
                  <c:v>0.0380933886898367</c:v>
                </c:pt>
                <c:pt idx="4">
                  <c:v>-0.0741518841994481</c:v>
                </c:pt>
                <c:pt idx="5">
                  <c:v>0.0165406578677576</c:v>
                </c:pt>
                <c:pt idx="6">
                  <c:v>-0.0912135545493807</c:v>
                </c:pt>
                <c:pt idx="7">
                  <c:v>-0.0964617996876291</c:v>
                </c:pt>
                <c:pt idx="8">
                  <c:v>0.0323531236138106</c:v>
                </c:pt>
                <c:pt idx="9">
                  <c:v>-0.118772354442749</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7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万吨</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3125"/>
          <c:y val="0.1076275176057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年城市人工煤气管道长度及同比变化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0734166666666667"/>
          <c:y val="0.175799086757991"/>
          <c:w val="0.827611111111111"/>
          <c:h val="0.705593607305936"/>
        </c:manualLayout>
      </c:layout>
      <c:barChart>
        <c:barDir val="col"/>
        <c:grouping val="clustered"/>
        <c:varyColors val="0"/>
        <c:ser>
          <c:idx val="1"/>
          <c:order val="0"/>
          <c:tx>
            <c:strRef>
              <c:f>"城市人工煤气管道长度"</c:f>
              <c:strCache>
                <c:ptCount val="1"/>
                <c:pt idx="0">
                  <c:v>城市人工煤气管道长度</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'[22公报数据-前三部分0915.xlsx]燃气管道长度'!$A$5:$A$14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'[22公报数据-前三部分0915.xlsx]燃气管道长度'!$C$5:$C$14</c:f>
              <c:numCache>
                <c:formatCode>0.00_ </c:formatCode>
                <c:ptCount val="10"/>
                <c:pt idx="0">
                  <c:v>3.0467</c:v>
                </c:pt>
                <c:pt idx="1">
                  <c:v>2.904294</c:v>
                </c:pt>
                <c:pt idx="2">
                  <c:v>2.129158</c:v>
                </c:pt>
                <c:pt idx="3">
                  <c:v>1.8513</c:v>
                </c:pt>
                <c:pt idx="4">
                  <c:v>1.1716</c:v>
                </c:pt>
                <c:pt idx="5">
                  <c:v>1.312404</c:v>
                </c:pt>
                <c:pt idx="6">
                  <c:v>1.091497</c:v>
                </c:pt>
                <c:pt idx="7">
                  <c:v>0.985956</c:v>
                </c:pt>
                <c:pt idx="8">
                  <c:v>0.916501</c:v>
                </c:pt>
                <c:pt idx="9">
                  <c:v>0.67179</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'[22公报数据-前三部分0915.xlsx]燃气管道长度'!$A$5:$A$14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'[22公报数据-前三部分0915.xlsx]燃气管道长度'!$D$5:$D$14</c:f>
              <c:numCache>
                <c:formatCode>0.00%</c:formatCode>
                <c:ptCount val="10"/>
                <c:pt idx="0">
                  <c:v>-0.0915677738684477</c:v>
                </c:pt>
                <c:pt idx="1">
                  <c:v>-0.0467410641021433</c:v>
                </c:pt>
                <c:pt idx="2">
                  <c:v>-0.266893090024633</c:v>
                </c:pt>
                <c:pt idx="3">
                  <c:v>-0.130501353117054</c:v>
                </c:pt>
                <c:pt idx="4">
                  <c:v>-0.367147409928159</c:v>
                </c:pt>
                <c:pt idx="5">
                  <c:v>0.120180949129396</c:v>
                </c:pt>
                <c:pt idx="6">
                  <c:v>-0.168322406819851</c:v>
                </c:pt>
                <c:pt idx="7">
                  <c:v>-0.0966938067626387</c:v>
                </c:pt>
                <c:pt idx="8">
                  <c:v>-0.0704443200305085</c:v>
                </c:pt>
                <c:pt idx="9">
                  <c:v>-0.267005709759182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6319444444445"/>
          <c:y val="0.1136206682906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年城市天然气管道长度及同比变化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5416666666667"/>
          <c:y val="0.00856164383561644"/>
        </c:manualLayout>
      </c:layout>
      <c:overlay val="0"/>
      <c:spPr>
        <a:noFill/>
        <a:ln>
          <a:noFill/>
        </a:ln>
        <a:effectLst/>
      </c:spPr>
    </c:title>
    <c:autoTitleDeleted val="0"/>
    <c:plotArea>
      <c:layout>
        <c:manualLayout>
          <c:layoutTarget val="inner"/>
          <c:xMode val="edge"/>
          <c:yMode val="edge"/>
          <c:x val="0.0888333333333333"/>
          <c:y val="0.216609589041096"/>
          <c:w val="0.831916666666667"/>
          <c:h val="0.653367579908676"/>
        </c:manualLayout>
      </c:layout>
      <c:barChart>
        <c:barDir val="col"/>
        <c:grouping val="clustered"/>
        <c:varyColors val="0"/>
        <c:ser>
          <c:idx val="1"/>
          <c:order val="0"/>
          <c:tx>
            <c:strRef>
              <c:f>"城市天然气管道长度"</c:f>
              <c:strCache>
                <c:ptCount val="1"/>
                <c:pt idx="0">
                  <c:v>城市天然气管道长度</c:v>
                </c:pt>
              </c:strCache>
            </c:strRef>
          </c:tx>
          <c:spPr>
            <a:solidFill>
              <a:srgbClr val="C00000"/>
            </a:solidFill>
            <a:ln>
              <a:noFill/>
            </a:ln>
            <a:effectLst/>
          </c:spPr>
          <c:invertIfNegative val="0"/>
          <c:dLbls>
            <c:dLbl>
              <c:idx val="2"/>
              <c:layout>
                <c:manualLayout>
                  <c:x val="-0.00152777777777778"/>
                  <c:y val="0.0222602739726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85388127853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2777777777778"/>
                  <c:y val="0.01598173515981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'[22公报数据-前三部分0915.xlsx]燃气管道长度'!$A$25:$A$34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'[22公报数据-前三部分0915.xlsx]燃气管道长度'!$C$25:$C$34</c:f>
              <c:numCache>
                <c:formatCode>0.00_ </c:formatCode>
                <c:ptCount val="10"/>
                <c:pt idx="0">
                  <c:v>38.8466</c:v>
                </c:pt>
                <c:pt idx="1">
                  <c:v>43.457147</c:v>
                </c:pt>
                <c:pt idx="2">
                  <c:v>49.808702</c:v>
                </c:pt>
                <c:pt idx="3">
                  <c:v>55.1031</c:v>
                </c:pt>
                <c:pt idx="4">
                  <c:v>62.325334</c:v>
                </c:pt>
                <c:pt idx="5">
                  <c:v>69.804272</c:v>
                </c:pt>
                <c:pt idx="6">
                  <c:v>76.794633</c:v>
                </c:pt>
                <c:pt idx="7">
                  <c:v>85.055213</c:v>
                </c:pt>
                <c:pt idx="8">
                  <c:v>92.908771</c:v>
                </c:pt>
                <c:pt idx="9">
                  <c:v>98.040473</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2225" cap="flat">
              <a:solidFill>
                <a:srgbClr val="002060"/>
              </a:solidFill>
              <a:miter lim="800000"/>
            </a:ln>
            <a:effectLst/>
            <a:sp3d contourW="22225"/>
          </c:spPr>
          <c:marker>
            <c:symbol val="circle"/>
            <c:size val="5"/>
            <c:spPr>
              <a:solidFill>
                <a:schemeClr val="bg1"/>
              </a:solidFill>
              <a:ln w="9525">
                <a:solidFill>
                  <a:srgbClr val="002060"/>
                </a:solidFill>
              </a:ln>
              <a:effectLst/>
            </c:spPr>
          </c:marker>
          <c:dLbls>
            <c:delete val="1"/>
          </c:dLbls>
          <c:cat>
            <c:numRef>
              <c:f>'[22公报数据-前三部分0915.xlsx]燃气管道长度'!$A$25:$A$34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'[22公报数据-前三部分0915.xlsx]燃气管道长度'!$D$25:$D$34</c:f>
              <c:numCache>
                <c:formatCode>0.00%</c:formatCode>
                <c:ptCount val="10"/>
                <c:pt idx="0">
                  <c:v>0.133373401176361</c:v>
                </c:pt>
                <c:pt idx="1">
                  <c:v>0.118685985388683</c:v>
                </c:pt>
                <c:pt idx="2">
                  <c:v>0.146156741490646</c:v>
                </c:pt>
                <c:pt idx="3">
                  <c:v>0.106294639037171</c:v>
                </c:pt>
                <c:pt idx="4">
                  <c:v>0.131067653181037</c:v>
                </c:pt>
                <c:pt idx="5">
                  <c:v>0.119998362142753</c:v>
                </c:pt>
                <c:pt idx="6">
                  <c:v>0.100142309341755</c:v>
                </c:pt>
                <c:pt idx="7">
                  <c:v>0.107567152511817</c:v>
                </c:pt>
                <c:pt idx="8">
                  <c:v>0.0923348225581424</c:v>
                </c:pt>
                <c:pt idx="9">
                  <c:v>0.0552337733538633</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2958877995642"/>
          <c:y val="0.1163321650368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年全国分省（区、市）和新疆兵团城市建成区面积</a:t>
            </a:r>
            <a:endParaRPr lang="en-US" altLang="zh-CN" sz="1200">
              <a:solidFill>
                <a:sysClr val="windowText" lastClr="000000"/>
              </a:solidFill>
            </a:endParaRPr>
          </a:p>
        </c:rich>
      </c:tx>
      <c:layout>
        <c:manualLayout>
          <c:xMode val="edge"/>
          <c:yMode val="edge"/>
          <c:x val="0.16927458723077"/>
          <c:y val="0.00888362451880367"/>
        </c:manualLayout>
      </c:layout>
      <c:overlay val="0"/>
      <c:spPr>
        <a:noFill/>
        <a:ln>
          <a:noFill/>
        </a:ln>
        <a:effectLst/>
      </c:spPr>
    </c:title>
    <c:autoTitleDeleted val="0"/>
    <c:plotArea>
      <c:layout>
        <c:manualLayout>
          <c:layoutTarget val="inner"/>
          <c:xMode val="edge"/>
          <c:yMode val="edge"/>
          <c:x val="0.104168674698795"/>
          <c:y val="0.13013698630137"/>
          <c:w val="0.870289156626506"/>
          <c:h val="0.556301369863014"/>
        </c:manualLayout>
      </c:layout>
      <c:barChart>
        <c:barDir val="col"/>
        <c:grouping val="clustered"/>
        <c:varyColors val="0"/>
        <c:ser>
          <c:idx val="0"/>
          <c:order val="0"/>
          <c:spPr>
            <a:solidFill>
              <a:srgbClr val="C00000"/>
            </a:solidFill>
            <a:ln>
              <a:noFill/>
            </a:ln>
            <a:effectLst/>
          </c:spPr>
          <c:invertIfNegative val="0"/>
          <c:dLbls>
            <c:dLbl>
              <c:idx val="17"/>
              <c:layout>
                <c:manualLayout>
                  <c:x val="0"/>
                  <c:y val="0.03575889499236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'[22公报数据-前三部分.xlsx]建成区面积'!$A$32:$A$62</c:f>
              <c:strCache>
                <c:ptCount val="31"/>
                <c:pt idx="0">
                  <c:v>天津</c:v>
                </c:pt>
                <c:pt idx="1">
                  <c:v>河北</c:v>
                </c:pt>
                <c:pt idx="2">
                  <c:v>山西</c:v>
                </c:pt>
                <c:pt idx="3">
                  <c:v>内蒙古</c:v>
                </c:pt>
                <c:pt idx="4">
                  <c:v>辽宁</c:v>
                </c:pt>
                <c:pt idx="5">
                  <c:v>吉林</c:v>
                </c:pt>
                <c:pt idx="6">
                  <c:v>黑龙江</c:v>
                </c:pt>
                <c:pt idx="7">
                  <c:v>上海</c:v>
                </c:pt>
                <c:pt idx="8">
                  <c:v>江苏</c:v>
                </c:pt>
                <c:pt idx="9">
                  <c:v>浙江</c:v>
                </c:pt>
                <c:pt idx="10">
                  <c:v>安徽</c:v>
                </c:pt>
                <c:pt idx="11">
                  <c:v>福建</c:v>
                </c:pt>
                <c:pt idx="12">
                  <c:v>江西</c:v>
                </c:pt>
                <c:pt idx="13">
                  <c:v>山东</c:v>
                </c:pt>
                <c:pt idx="14">
                  <c:v>河南</c:v>
                </c:pt>
                <c:pt idx="15">
                  <c:v>湖北</c:v>
                </c:pt>
                <c:pt idx="16">
                  <c:v>湖南</c:v>
                </c:pt>
                <c:pt idx="17">
                  <c:v>广东</c:v>
                </c:pt>
                <c:pt idx="18">
                  <c:v>广西</c:v>
                </c:pt>
                <c:pt idx="19">
                  <c:v>海南</c:v>
                </c:pt>
                <c:pt idx="20">
                  <c:v>重庆</c:v>
                </c:pt>
                <c:pt idx="21">
                  <c:v>四川</c:v>
                </c:pt>
                <c:pt idx="22">
                  <c:v>贵州</c:v>
                </c:pt>
                <c:pt idx="23">
                  <c:v>云南</c:v>
                </c:pt>
                <c:pt idx="24">
                  <c:v>西藏</c:v>
                </c:pt>
                <c:pt idx="25">
                  <c:v>陕西</c:v>
                </c:pt>
                <c:pt idx="26">
                  <c:v>甘肃</c:v>
                </c:pt>
                <c:pt idx="27">
                  <c:v>青海</c:v>
                </c:pt>
                <c:pt idx="28">
                  <c:v>宁夏</c:v>
                </c:pt>
                <c:pt idx="29">
                  <c:v>新疆</c:v>
                </c:pt>
                <c:pt idx="30">
                  <c:v>新疆兵团</c:v>
                </c:pt>
              </c:strCache>
            </c:strRef>
          </c:cat>
          <c:val>
            <c:numRef>
              <c:f>'[22公报数据-前三部分.xlsx]建成区面积'!$C$32:$C$62</c:f>
              <c:numCache>
                <c:formatCode>0_ </c:formatCode>
                <c:ptCount val="31"/>
                <c:pt idx="0">
                  <c:v>1264.46</c:v>
                </c:pt>
                <c:pt idx="1">
                  <c:v>2266.96</c:v>
                </c:pt>
                <c:pt idx="2">
                  <c:v>1295.08</c:v>
                </c:pt>
                <c:pt idx="3">
                  <c:v>1272.8</c:v>
                </c:pt>
                <c:pt idx="4">
                  <c:v>2815.03</c:v>
                </c:pt>
                <c:pt idx="5">
                  <c:v>1580</c:v>
                </c:pt>
                <c:pt idx="6">
                  <c:v>1802.55</c:v>
                </c:pt>
                <c:pt idx="7">
                  <c:v>1242</c:v>
                </c:pt>
                <c:pt idx="8">
                  <c:v>4916.17</c:v>
                </c:pt>
                <c:pt idx="9">
                  <c:v>3426.99</c:v>
                </c:pt>
                <c:pt idx="10">
                  <c:v>2500.28</c:v>
                </c:pt>
                <c:pt idx="11">
                  <c:v>1877.45</c:v>
                </c:pt>
                <c:pt idx="12">
                  <c:v>1789.49</c:v>
                </c:pt>
                <c:pt idx="13">
                  <c:v>5712.99</c:v>
                </c:pt>
                <c:pt idx="14">
                  <c:v>3521.11</c:v>
                </c:pt>
                <c:pt idx="15">
                  <c:v>2866.18</c:v>
                </c:pt>
                <c:pt idx="16">
                  <c:v>2104.99</c:v>
                </c:pt>
                <c:pt idx="17">
                  <c:v>6575.31</c:v>
                </c:pt>
                <c:pt idx="18">
                  <c:v>1809.48</c:v>
                </c:pt>
                <c:pt idx="19">
                  <c:v>419.28</c:v>
                </c:pt>
                <c:pt idx="20">
                  <c:v>1640.8</c:v>
                </c:pt>
                <c:pt idx="21">
                  <c:v>3411.76</c:v>
                </c:pt>
                <c:pt idx="22">
                  <c:v>1194.8</c:v>
                </c:pt>
                <c:pt idx="23">
                  <c:v>1287.83</c:v>
                </c:pt>
                <c:pt idx="24">
                  <c:v>170.71</c:v>
                </c:pt>
                <c:pt idx="25">
                  <c:v>1553.51</c:v>
                </c:pt>
                <c:pt idx="26">
                  <c:v>968.07</c:v>
                </c:pt>
                <c:pt idx="27">
                  <c:v>250.08</c:v>
                </c:pt>
                <c:pt idx="28">
                  <c:v>485.66</c:v>
                </c:pt>
                <c:pt idx="29">
                  <c:v>1428.05</c:v>
                </c:pt>
                <c:pt idx="30">
                  <c:v>226.53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max val="8000"/>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平方公里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年城市液化石油气管道长度及同比变化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530072193253"/>
          <c:y val="0.0253995433789955"/>
        </c:manualLayout>
      </c:layout>
      <c:overlay val="0"/>
      <c:spPr>
        <a:noFill/>
        <a:ln>
          <a:noFill/>
        </a:ln>
        <a:effectLst/>
      </c:spPr>
    </c:title>
    <c:autoTitleDeleted val="0"/>
    <c:plotArea>
      <c:layout>
        <c:manualLayout>
          <c:layoutTarget val="inner"/>
          <c:xMode val="edge"/>
          <c:yMode val="edge"/>
          <c:x val="0.0810555555555556"/>
          <c:y val="0.189783105022831"/>
          <c:w val="0.837611111111111"/>
          <c:h val="0.681906392694064"/>
        </c:manualLayout>
      </c:layout>
      <c:barChart>
        <c:barDir val="col"/>
        <c:grouping val="clustered"/>
        <c:varyColors val="0"/>
        <c:ser>
          <c:idx val="1"/>
          <c:order val="0"/>
          <c:tx>
            <c:strRef>
              <c:f>"城市液化石油气管道长度"</c:f>
              <c:strCache>
                <c:ptCount val="1"/>
                <c:pt idx="0">
                  <c:v>城市液化石油气管道长度</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'[22公报数据-前三部分0915.xlsx]燃气管道长度'!$A$45:$A$54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'[22公报数据-前三部分0915.xlsx]燃气管道长度'!$C$45:$C$54</c:f>
              <c:numCache>
                <c:formatCode>0.00_ </c:formatCode>
                <c:ptCount val="10"/>
                <c:pt idx="0">
                  <c:v>1.3437</c:v>
                </c:pt>
                <c:pt idx="1">
                  <c:v>1.098585</c:v>
                </c:pt>
                <c:pt idx="2">
                  <c:v>0.900934</c:v>
                </c:pt>
                <c:pt idx="3">
                  <c:v>0.8716</c:v>
                </c:pt>
                <c:pt idx="4">
                  <c:v>0.620032</c:v>
                </c:pt>
                <c:pt idx="5">
                  <c:v>0.484143</c:v>
                </c:pt>
                <c:pt idx="6">
                  <c:v>0.44515</c:v>
                </c:pt>
                <c:pt idx="7">
                  <c:v>0.401</c:v>
                </c:pt>
                <c:pt idx="8">
                  <c:v>0.290998</c:v>
                </c:pt>
                <c:pt idx="9">
                  <c:v>0.254737</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'[22公报数据-前三部分0915.xlsx]燃气管道长度'!$A$45:$A$54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'[22公报数据-前三部分0915.xlsx]燃气管道长度'!$D$45:$D$54</c:f>
              <c:numCache>
                <c:formatCode>0.00%</c:formatCode>
                <c:ptCount val="10"/>
                <c:pt idx="0">
                  <c:v>0.0621294759307565</c:v>
                </c:pt>
                <c:pt idx="1">
                  <c:v>-0.182417950435365</c:v>
                </c:pt>
                <c:pt idx="2">
                  <c:v>-0.179914162308788</c:v>
                </c:pt>
                <c:pt idx="3">
                  <c:v>-0.0325595437623621</c:v>
                </c:pt>
                <c:pt idx="4">
                  <c:v>-0.288627810922441</c:v>
                </c:pt>
                <c:pt idx="5">
                  <c:v>-0.219164494735756</c:v>
                </c:pt>
                <c:pt idx="6">
                  <c:v>-0.0805402536027578</c:v>
                </c:pt>
                <c:pt idx="7">
                  <c:v>-0.0991800516679771</c:v>
                </c:pt>
                <c:pt idx="8">
                  <c:v>-0.274319201995013</c:v>
                </c:pt>
                <c:pt idx="9">
                  <c:v>-0.124609103842638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172434187607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年全国城市燃气普及率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40504456338925"/>
          <c:y val="0.0222602739726028"/>
        </c:manualLayout>
      </c:layout>
      <c:overlay val="0"/>
      <c:spPr>
        <a:noFill/>
        <a:ln>
          <a:noFill/>
        </a:ln>
        <a:effectLst/>
      </c:spPr>
    </c:title>
    <c:autoTitleDeleted val="0"/>
    <c:plotArea>
      <c:layout>
        <c:manualLayout>
          <c:layoutTarget val="inner"/>
          <c:xMode val="edge"/>
          <c:yMode val="edge"/>
          <c:x val="0.0825833333333333"/>
          <c:y val="0.165810502283105"/>
          <c:w val="0.885888888888889"/>
          <c:h val="0.704166666666667"/>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'[22公报数据-前三部分0915.xlsx]燃气普及率 '!$A$5:$A$14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'[22公报数据-前三部分0915.xlsx]燃气普及率 '!$C$5:$C$14</c:f>
              <c:numCache>
                <c:formatCode>0.00%</c:formatCode>
                <c:ptCount val="10"/>
                <c:pt idx="0">
                  <c:v>0.9425</c:v>
                </c:pt>
                <c:pt idx="1">
                  <c:v>0.9457</c:v>
                </c:pt>
                <c:pt idx="2">
                  <c:v>0.953</c:v>
                </c:pt>
                <c:pt idx="3">
                  <c:v>0.9575</c:v>
                </c:pt>
                <c:pt idx="4">
                  <c:v>0.9626</c:v>
                </c:pt>
                <c:pt idx="5">
                  <c:v>0.966993876256751</c:v>
                </c:pt>
                <c:pt idx="6">
                  <c:v>0.972944314288112</c:v>
                </c:pt>
                <c:pt idx="7">
                  <c:v>0.978693695436412</c:v>
                </c:pt>
                <c:pt idx="8">
                  <c:v>0.9804</c:v>
                </c:pt>
                <c:pt idx="9">
                  <c:v>0.9806</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3"/>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年全国城市管道燃气普及率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37223245973246"/>
          <c:y val="0.0222602739726028"/>
        </c:manualLayout>
      </c:layout>
      <c:overlay val="0"/>
      <c:spPr>
        <a:noFill/>
        <a:ln>
          <a:noFill/>
        </a:ln>
        <a:effectLst/>
      </c:spPr>
    </c:title>
    <c:autoTitleDeleted val="0"/>
    <c:plotArea>
      <c:layout>
        <c:manualLayout>
          <c:layoutTarget val="inner"/>
          <c:xMode val="edge"/>
          <c:yMode val="edge"/>
          <c:x val="0.0903611111111111"/>
          <c:y val="0.157036029911625"/>
          <c:w val="0.873527777777778"/>
          <c:h val="0.703059143439837"/>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'[22公报数据-前三部分0915.xlsx]管道燃气普及率'!$A$5:$A$14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'[22公报数据-前三部分0915.xlsx]管道燃气普及率'!$G$5:$G$14</c:f>
              <c:numCache>
                <c:formatCode>0.00%</c:formatCode>
                <c:ptCount val="10"/>
                <c:pt idx="0">
                  <c:v>0.593884325756841</c:v>
                </c:pt>
                <c:pt idx="1">
                  <c:v>0.622752539747988</c:v>
                </c:pt>
                <c:pt idx="2">
                  <c:v>0.649644668505825</c:v>
                </c:pt>
                <c:pt idx="3">
                  <c:v>0.669437669004665</c:v>
                </c:pt>
                <c:pt idx="4">
                  <c:v>0.705861033215438</c:v>
                </c:pt>
                <c:pt idx="5">
                  <c:v>0.736650302277226</c:v>
                </c:pt>
                <c:pt idx="6">
                  <c:v>0.757414968062943</c:v>
                </c:pt>
                <c:pt idx="7">
                  <c:v>0.77841613786197</c:v>
                </c:pt>
                <c:pt idx="8">
                  <c:v>0.798371691011079</c:v>
                </c:pt>
                <c:pt idx="9">
                  <c:v>0.815374617375638</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年全国分省（区、市）和新疆兵团城市燃气普及率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40988547317661"/>
          <c:y val="0.361848267249454"/>
          <c:w val="0.886244725738397"/>
          <c:h val="0.352294723696535"/>
        </c:manualLayout>
      </c:layout>
      <c:barChart>
        <c:barDir val="col"/>
        <c:grouping val="clustered"/>
        <c:varyColors val="0"/>
        <c:ser>
          <c:idx val="0"/>
          <c:order val="0"/>
          <c:tx>
            <c:strRef>
              <c:f>"城市燃气普及率"</c:f>
              <c:strCache>
                <c:ptCount val="1"/>
                <c:pt idx="0">
                  <c:v>城市燃气普及率</c:v>
                </c:pt>
              </c:strCache>
            </c:strRef>
          </c:tx>
          <c:spPr>
            <a:solidFill>
              <a:srgbClr val="C00000"/>
            </a:solidFill>
            <a:ln>
              <a:noFill/>
            </a:ln>
            <a:effectLst/>
          </c:spPr>
          <c:invertIfNegative val="0"/>
          <c:dLbls>
            <c:dLbl>
              <c:idx val="31"/>
              <c:layout>
                <c:manualLayout>
                  <c:x val="0"/>
                  <c:y val="0.00312207305650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'[22公报数据-前三部分0919.xlsx]燃气普及率 '!$B$22:$B$53</c:f>
              <c:numCache>
                <c:formatCode>#,##0.0</c:formatCode>
                <c:ptCount val="32"/>
                <c:pt idx="0">
                  <c:v>100</c:v>
                </c:pt>
                <c:pt idx="1">
                  <c:v>100</c:v>
                </c:pt>
                <c:pt idx="2">
                  <c:v>99.5460055976013</c:v>
                </c:pt>
                <c:pt idx="3">
                  <c:v>97.5595084643809</c:v>
                </c:pt>
                <c:pt idx="4">
                  <c:v>97.9578096947935</c:v>
                </c:pt>
                <c:pt idx="5">
                  <c:v>97.7312316415056</c:v>
                </c:pt>
                <c:pt idx="6">
                  <c:v>96.5422671990531</c:v>
                </c:pt>
                <c:pt idx="7">
                  <c:v>93.2235523142633</c:v>
                </c:pt>
                <c:pt idx="8">
                  <c:v>100</c:v>
                </c:pt>
                <c:pt idx="9">
                  <c:v>99.9222936329345</c:v>
                </c:pt>
                <c:pt idx="10">
                  <c:v>99.9</c:v>
                </c:pt>
                <c:pt idx="11">
                  <c:v>99.4164906592479</c:v>
                </c:pt>
                <c:pt idx="12">
                  <c:v>99.674957135386</c:v>
                </c:pt>
                <c:pt idx="13">
                  <c:v>98.8162423704726</c:v>
                </c:pt>
                <c:pt idx="14">
                  <c:v>99.4748250419202</c:v>
                </c:pt>
                <c:pt idx="15">
                  <c:v>98.210002167999</c:v>
                </c:pt>
                <c:pt idx="16">
                  <c:v>99.5049260881355</c:v>
                </c:pt>
                <c:pt idx="17">
                  <c:v>97.7034080125428</c:v>
                </c:pt>
                <c:pt idx="18">
                  <c:v>98.6071782260678</c:v>
                </c:pt>
                <c:pt idx="19">
                  <c:v>99.4370610237844</c:v>
                </c:pt>
                <c:pt idx="20">
                  <c:v>99.5348558052996</c:v>
                </c:pt>
                <c:pt idx="21">
                  <c:v>98.815455950541</c:v>
                </c:pt>
                <c:pt idx="22">
                  <c:v>96.553008022227</c:v>
                </c:pt>
                <c:pt idx="23">
                  <c:v>93.2591666118096</c:v>
                </c:pt>
                <c:pt idx="24">
                  <c:v>71.7527647888369</c:v>
                </c:pt>
                <c:pt idx="25">
                  <c:v>74.2597998331943</c:v>
                </c:pt>
                <c:pt idx="26">
                  <c:v>99.0328685536167</c:v>
                </c:pt>
                <c:pt idx="27">
                  <c:v>96.9287720941122</c:v>
                </c:pt>
                <c:pt idx="28">
                  <c:v>94.7176343985402</c:v>
                </c:pt>
                <c:pt idx="29">
                  <c:v>98.483722815075</c:v>
                </c:pt>
                <c:pt idx="30">
                  <c:v>98.9700232387047</c:v>
                </c:pt>
                <c:pt idx="31">
                  <c:v>95.9558490907446</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"全国城市燃气普及率98.1%"</c:f>
              <c:strCache>
                <c:ptCount val="1"/>
                <c:pt idx="0">
                  <c:v>全国城市燃气普及率98.1%</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'[22公报数据-前三部分0919.xlsx]燃气普及率 '!$D$22:$D$53</c:f>
              <c:numCache>
                <c:formatCode>#,##0.0</c:formatCode>
                <c:ptCount val="32"/>
                <c:pt idx="0">
                  <c:v>98.0592042546254</c:v>
                </c:pt>
                <c:pt idx="1">
                  <c:v>98.0592042546254</c:v>
                </c:pt>
                <c:pt idx="2">
                  <c:v>98.0592042546254</c:v>
                </c:pt>
                <c:pt idx="3">
                  <c:v>98.0592042546254</c:v>
                </c:pt>
                <c:pt idx="4">
                  <c:v>98.0592042546254</c:v>
                </c:pt>
                <c:pt idx="5">
                  <c:v>98.0592042546254</c:v>
                </c:pt>
                <c:pt idx="6">
                  <c:v>98.0592042546254</c:v>
                </c:pt>
                <c:pt idx="7">
                  <c:v>98.0592042546254</c:v>
                </c:pt>
                <c:pt idx="8">
                  <c:v>98.0592042546254</c:v>
                </c:pt>
                <c:pt idx="9">
                  <c:v>98.0592042546254</c:v>
                </c:pt>
                <c:pt idx="10">
                  <c:v>98.0592042546254</c:v>
                </c:pt>
                <c:pt idx="11">
                  <c:v>98.0592042546254</c:v>
                </c:pt>
                <c:pt idx="12">
                  <c:v>98.0592042546254</c:v>
                </c:pt>
                <c:pt idx="13">
                  <c:v>98.0592042546254</c:v>
                </c:pt>
                <c:pt idx="14">
                  <c:v>98.0592042546254</c:v>
                </c:pt>
                <c:pt idx="15">
                  <c:v>98.0592042546254</c:v>
                </c:pt>
                <c:pt idx="16">
                  <c:v>98.0592042546254</c:v>
                </c:pt>
                <c:pt idx="17">
                  <c:v>98.0592042546254</c:v>
                </c:pt>
                <c:pt idx="18">
                  <c:v>98.0592042546254</c:v>
                </c:pt>
                <c:pt idx="19">
                  <c:v>98.0592042546254</c:v>
                </c:pt>
                <c:pt idx="20">
                  <c:v>98.0592042546254</c:v>
                </c:pt>
                <c:pt idx="21">
                  <c:v>98.0592042546254</c:v>
                </c:pt>
                <c:pt idx="22">
                  <c:v>98.0592042546254</c:v>
                </c:pt>
                <c:pt idx="23">
                  <c:v>98.0592042546254</c:v>
                </c:pt>
                <c:pt idx="24">
                  <c:v>98.0592042546254</c:v>
                </c:pt>
                <c:pt idx="25">
                  <c:v>98.0592042546254</c:v>
                </c:pt>
                <c:pt idx="26">
                  <c:v>98.0592042546254</c:v>
                </c:pt>
                <c:pt idx="27">
                  <c:v>98.0592042546254</c:v>
                </c:pt>
                <c:pt idx="28">
                  <c:v>98.0592042546254</c:v>
                </c:pt>
                <c:pt idx="29">
                  <c:v>98.0592042546254</c:v>
                </c:pt>
                <c:pt idx="30">
                  <c:v>98.0592042546254</c:v>
                </c:pt>
                <c:pt idx="31">
                  <c:v>98.0592042546254</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5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74564877060503"/>
          <c:y val="0.1175443700901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rot="0" vert="eaVert"/>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年全国分省（区、市）和新疆兵团城市管道燃气普及率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44817025844619"/>
          <c:y val="0.0093837973099781"/>
        </c:manualLayout>
      </c:layout>
      <c:overlay val="0"/>
      <c:spPr>
        <a:noFill/>
        <a:ln>
          <a:noFill/>
        </a:ln>
        <a:effectLst/>
      </c:spPr>
    </c:title>
    <c:autoTitleDeleted val="0"/>
    <c:plotArea>
      <c:layout>
        <c:manualLayout>
          <c:layoutTarget val="inner"/>
          <c:xMode val="edge"/>
          <c:yMode val="edge"/>
          <c:x val="0.0840539083557952"/>
          <c:y val="0.338376491125982"/>
          <c:w val="0.890501347708895"/>
          <c:h val="0.390282222868781"/>
        </c:manualLayout>
      </c:layout>
      <c:barChart>
        <c:barDir val="col"/>
        <c:grouping val="clustered"/>
        <c:varyColors val="0"/>
        <c:ser>
          <c:idx val="0"/>
          <c:order val="0"/>
          <c:tx>
            <c:strRef>
              <c:f>"城市管道燃气普及率"</c:f>
              <c:strCache>
                <c:ptCount val="1"/>
                <c:pt idx="0">
                  <c:v>城市管道燃气普及率</c:v>
                </c:pt>
              </c:strCache>
            </c:strRef>
          </c:tx>
          <c:spPr>
            <a:solidFill>
              <a:srgbClr val="C00000"/>
            </a:solidFill>
            <a:ln>
              <a:noFill/>
            </a:ln>
            <a:effectLst/>
          </c:spPr>
          <c:invertIfNegative val="0"/>
          <c:dLbls>
            <c:dLbl>
              <c:idx val="5"/>
              <c:layout>
                <c:manualLayout>
                  <c:x val="0"/>
                  <c:y val="-0.00331925165962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331925165962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'[22公报数据-前三部分.xlsx]管道燃气普及率'!$F$22:$F$53</c:f>
              <c:numCache>
                <c:formatCode>#,##0.0</c:formatCode>
                <c:ptCount val="32"/>
                <c:pt idx="0">
                  <c:v>77.0023002927645</c:v>
                </c:pt>
                <c:pt idx="1">
                  <c:v>93.7090003189463</c:v>
                </c:pt>
                <c:pt idx="2">
                  <c:v>91.6175670888981</c:v>
                </c:pt>
                <c:pt idx="3">
                  <c:v>95.109642441429</c:v>
                </c:pt>
                <c:pt idx="4">
                  <c:v>76.6735060271864</c:v>
                </c:pt>
                <c:pt idx="5">
                  <c:v>86.4949791652435</c:v>
                </c:pt>
                <c:pt idx="6">
                  <c:v>79.0035260872102</c:v>
                </c:pt>
                <c:pt idx="7">
                  <c:v>74.8874102914258</c:v>
                </c:pt>
                <c:pt idx="8">
                  <c:v>80.0213256647105</c:v>
                </c:pt>
                <c:pt idx="9">
                  <c:v>91.2777301106776</c:v>
                </c:pt>
                <c:pt idx="10">
                  <c:v>70.1072143026154</c:v>
                </c:pt>
                <c:pt idx="11">
                  <c:v>93.1201129174956</c:v>
                </c:pt>
                <c:pt idx="12">
                  <c:v>67.1117525172617</c:v>
                </c:pt>
                <c:pt idx="13">
                  <c:v>79.2337202520311</c:v>
                </c:pt>
                <c:pt idx="14">
                  <c:v>92.9853177152123</c:v>
                </c:pt>
                <c:pt idx="15">
                  <c:v>87.7025505458462</c:v>
                </c:pt>
                <c:pt idx="16">
                  <c:v>85.0491787114109</c:v>
                </c:pt>
                <c:pt idx="17">
                  <c:v>78.0810331311631</c:v>
                </c:pt>
                <c:pt idx="18">
                  <c:v>63.0741717722665</c:v>
                </c:pt>
                <c:pt idx="19">
                  <c:v>63.4157128186677</c:v>
                </c:pt>
                <c:pt idx="20">
                  <c:v>82.5315847912853</c:v>
                </c:pt>
                <c:pt idx="21">
                  <c:v>96.2497681607419</c:v>
                </c:pt>
                <c:pt idx="22">
                  <c:v>93.4592568489293</c:v>
                </c:pt>
                <c:pt idx="23">
                  <c:v>66.5997410747592</c:v>
                </c:pt>
                <c:pt idx="24">
                  <c:v>48.8959400282045</c:v>
                </c:pt>
                <c:pt idx="25">
                  <c:v>44.8290241868224</c:v>
                </c:pt>
                <c:pt idx="26">
                  <c:v>93.9112465558988</c:v>
                </c:pt>
                <c:pt idx="27">
                  <c:v>88.3574271333255</c:v>
                </c:pt>
                <c:pt idx="28">
                  <c:v>86.1086417442568</c:v>
                </c:pt>
                <c:pt idx="29">
                  <c:v>91.3447251114413</c:v>
                </c:pt>
                <c:pt idx="30">
                  <c:v>93.931077972277</c:v>
                </c:pt>
                <c:pt idx="31">
                  <c:v>91.4774269429114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"全国城市管道燃气普及率81.5%"</c:f>
              <c:strCache>
                <c:ptCount val="1"/>
                <c:pt idx="0">
                  <c:v>全国城市管道燃气普及率81.5%</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'[22公报数据-前三部分.xlsx]管道燃气普及率'!$H$22:$H$53</c:f>
              <c:numCache>
                <c:formatCode>#,##0.0</c:formatCode>
                <c:ptCount val="32"/>
                <c:pt idx="0">
                  <c:v>81.5374617375638</c:v>
                </c:pt>
                <c:pt idx="1">
                  <c:v>81.5374617375638</c:v>
                </c:pt>
                <c:pt idx="2">
                  <c:v>81.5374617375638</c:v>
                </c:pt>
                <c:pt idx="3">
                  <c:v>81.5374617375638</c:v>
                </c:pt>
                <c:pt idx="4">
                  <c:v>81.5374617375638</c:v>
                </c:pt>
                <c:pt idx="5">
                  <c:v>81.5374617375638</c:v>
                </c:pt>
                <c:pt idx="6">
                  <c:v>81.5374617375638</c:v>
                </c:pt>
                <c:pt idx="7">
                  <c:v>81.5374617375638</c:v>
                </c:pt>
                <c:pt idx="8">
                  <c:v>81.5374617375638</c:v>
                </c:pt>
                <c:pt idx="9">
                  <c:v>81.5374617375638</c:v>
                </c:pt>
                <c:pt idx="10">
                  <c:v>81.5374617375638</c:v>
                </c:pt>
                <c:pt idx="11">
                  <c:v>81.5374617375638</c:v>
                </c:pt>
                <c:pt idx="12">
                  <c:v>81.5374617375638</c:v>
                </c:pt>
                <c:pt idx="13">
                  <c:v>81.5374617375638</c:v>
                </c:pt>
                <c:pt idx="14">
                  <c:v>81.5374617375638</c:v>
                </c:pt>
                <c:pt idx="15">
                  <c:v>81.5374617375638</c:v>
                </c:pt>
                <c:pt idx="16">
                  <c:v>81.5374617375638</c:v>
                </c:pt>
                <c:pt idx="17">
                  <c:v>81.5374617375638</c:v>
                </c:pt>
                <c:pt idx="18">
                  <c:v>81.5374617375638</c:v>
                </c:pt>
                <c:pt idx="19">
                  <c:v>81.5374617375638</c:v>
                </c:pt>
                <c:pt idx="20">
                  <c:v>81.5374617375638</c:v>
                </c:pt>
                <c:pt idx="21">
                  <c:v>81.5374617375638</c:v>
                </c:pt>
                <c:pt idx="22">
                  <c:v>81.5374617375638</c:v>
                </c:pt>
                <c:pt idx="23">
                  <c:v>81.5374617375638</c:v>
                </c:pt>
                <c:pt idx="24">
                  <c:v>81.5374617375638</c:v>
                </c:pt>
                <c:pt idx="25">
                  <c:v>81.5374617375638</c:v>
                </c:pt>
                <c:pt idx="26">
                  <c:v>81.5374617375638</c:v>
                </c:pt>
                <c:pt idx="27">
                  <c:v>81.5374617375638</c:v>
                </c:pt>
                <c:pt idx="28">
                  <c:v>81.5374617375638</c:v>
                </c:pt>
                <c:pt idx="29">
                  <c:v>81.5374617375638</c:v>
                </c:pt>
                <c:pt idx="30">
                  <c:v>81.5374617375638</c:v>
                </c:pt>
                <c:pt idx="31">
                  <c:v>81.5374617375638</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2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74564877060503"/>
          <c:y val="0.11455125425661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rot="0" vert="eaVert"/>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年城市蒸汽供热能力及同比变化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59013441378867"/>
        </c:manualLayout>
      </c:layout>
      <c:overlay val="0"/>
      <c:spPr>
        <a:noFill/>
        <a:ln>
          <a:noFill/>
        </a:ln>
        <a:effectLst/>
      </c:spPr>
    </c:title>
    <c:autoTitleDeleted val="0"/>
    <c:plotArea>
      <c:layout>
        <c:manualLayout>
          <c:layoutTarget val="inner"/>
          <c:xMode val="edge"/>
          <c:yMode val="edge"/>
          <c:x val="0.0856388888888889"/>
          <c:y val="0.208618721461187"/>
          <c:w val="0.833027777777778"/>
          <c:h val="0.672488584474886"/>
        </c:manualLayout>
      </c:layout>
      <c:barChart>
        <c:barDir val="col"/>
        <c:grouping val="clustered"/>
        <c:varyColors val="0"/>
        <c:ser>
          <c:idx val="1"/>
          <c:order val="0"/>
          <c:tx>
            <c:strRef>
              <c:f>"城市蒸汽供热能力"</c:f>
              <c:strCache>
                <c:ptCount val="1"/>
                <c:pt idx="0">
                  <c:v>城市蒸汽供热能力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'[22公报数据-前三部分0915.xlsx]集中供热能力'!$A$5:$A$14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'[22公报数据-前三部分0915.xlsx]集中供热能力'!$C$5:$C$14</c:f>
              <c:numCache>
                <c:formatCode>0.00_ </c:formatCode>
                <c:ptCount val="10"/>
                <c:pt idx="0">
                  <c:v>8.4362</c:v>
                </c:pt>
                <c:pt idx="1">
                  <c:v>8.4664</c:v>
                </c:pt>
                <c:pt idx="2">
                  <c:v>8.0699</c:v>
                </c:pt>
                <c:pt idx="3">
                  <c:v>7.8307</c:v>
                </c:pt>
                <c:pt idx="4">
                  <c:v>9.8328</c:v>
                </c:pt>
                <c:pt idx="5">
                  <c:v>9.2322</c:v>
                </c:pt>
                <c:pt idx="6">
                  <c:v>10.0943</c:v>
                </c:pt>
                <c:pt idx="7">
                  <c:v>10.3471</c:v>
                </c:pt>
                <c:pt idx="8">
                  <c:v>11.8784</c:v>
                </c:pt>
                <c:pt idx="9">
                  <c:v>12.5543</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sq">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'[22公报数据-前三部分0915.xlsx]集中供热能力'!$A$5:$A$14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'[22公报数据-前三部分0915.xlsx]集中供热能力'!$D$5:$D$14</c:f>
              <c:numCache>
                <c:formatCode>0.00%</c:formatCode>
                <c:ptCount val="10"/>
                <c:pt idx="0">
                  <c:v>-0.0241752648868738</c:v>
                </c:pt>
                <c:pt idx="1">
                  <c:v>0.00357981081529601</c:v>
                </c:pt>
                <c:pt idx="2">
                  <c:v>-0.0468321836908249</c:v>
                </c:pt>
                <c:pt idx="3">
                  <c:v>-0.0296410116606154</c:v>
                </c:pt>
                <c:pt idx="4">
                  <c:v>0.255673183751133</c:v>
                </c:pt>
                <c:pt idx="5">
                  <c:v>-0.0610812789846229</c:v>
                </c:pt>
                <c:pt idx="6">
                  <c:v>0.0933796928142805</c:v>
                </c:pt>
                <c:pt idx="7">
                  <c:v>0.0250438366206669</c:v>
                </c:pt>
                <c:pt idx="8">
                  <c:v>0.147993157503068</c:v>
                </c:pt>
                <c:pt idx="9">
                  <c:v>0.0569016029094829</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万吨</a:t>
                </a:r>
                <a:r>
                  <a:rPr lang="en-US" altLang="zh-CN"/>
                  <a:t>/</a:t>
                </a:r>
                <a:r>
                  <a:rPr altLang="en-US"/>
                  <a:t>小时</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0902777777778"/>
          <c:y val="0.1136206682906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年城市热水供热能力及同比变化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0856164383561644"/>
        </c:manualLayout>
      </c:layout>
      <c:overlay val="0"/>
      <c:spPr>
        <a:noFill/>
        <a:ln>
          <a:noFill/>
        </a:ln>
        <a:effectLst/>
      </c:spPr>
    </c:title>
    <c:autoTitleDeleted val="0"/>
    <c:plotArea>
      <c:layout>
        <c:manualLayout>
          <c:layoutTarget val="inner"/>
          <c:xMode val="edge"/>
          <c:yMode val="edge"/>
          <c:x val="0.0825833333333333"/>
          <c:y val="0.220034246575342"/>
          <c:w val="0.836083333333333"/>
          <c:h val="0.659646118721461"/>
        </c:manualLayout>
      </c:layout>
      <c:barChart>
        <c:barDir val="col"/>
        <c:grouping val="clustered"/>
        <c:varyColors val="0"/>
        <c:ser>
          <c:idx val="1"/>
          <c:order val="0"/>
          <c:tx>
            <c:strRef>
              <c:f>"城市热水供热能力"</c:f>
              <c:strCache>
                <c:ptCount val="1"/>
                <c:pt idx="0">
                  <c:v>城市热水供热能力</c:v>
                </c:pt>
              </c:strCache>
            </c:strRef>
          </c:tx>
          <c:spPr>
            <a:solidFill>
              <a:srgbClr val="C00000"/>
            </a:solidFill>
            <a:ln>
              <a:noFill/>
            </a:ln>
            <a:effectLst/>
          </c:spPr>
          <c:invertIfNegative val="0"/>
          <c:dLbls>
            <c:dLbl>
              <c:idx val="4"/>
              <c:layout>
                <c:manualLayout>
                  <c:x val="-0.00458333333333333"/>
                  <c:y val="0.0222602739726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'[22公报数据-前三部分0915.xlsx]集中供热能力'!$A$27:$A$36</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'[22公报数据-前三部分0915.xlsx]集中供热能力'!$C$27:$C$36</c:f>
              <c:numCache>
                <c:formatCode>0.00_ </c:formatCode>
                <c:ptCount val="10"/>
                <c:pt idx="0">
                  <c:v>40.3542</c:v>
                </c:pt>
                <c:pt idx="1">
                  <c:v>44.706831</c:v>
                </c:pt>
                <c:pt idx="2">
                  <c:v>47.255631</c:v>
                </c:pt>
                <c:pt idx="3">
                  <c:v>49.325441</c:v>
                </c:pt>
                <c:pt idx="4">
                  <c:v>64.7827</c:v>
                </c:pt>
                <c:pt idx="5">
                  <c:v>57.8244</c:v>
                </c:pt>
                <c:pt idx="6">
                  <c:v>55.053</c:v>
                </c:pt>
                <c:pt idx="7">
                  <c:v>56.618075</c:v>
                </c:pt>
                <c:pt idx="8">
                  <c:v>59.322561</c:v>
                </c:pt>
                <c:pt idx="9">
                  <c:v>60.0194</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'[22公报数据-前三部分0915.xlsx]集中供热能力'!$A$27:$A$36</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'[22公报数据-前三部分0915.xlsx]集中供热能力'!$D$27:$D$36</c:f>
              <c:numCache>
                <c:formatCode>0.00%</c:formatCode>
                <c:ptCount val="10"/>
                <c:pt idx="0">
                  <c:v>0.104753092165419</c:v>
                </c:pt>
                <c:pt idx="1">
                  <c:v>0.107860668777971</c:v>
                </c:pt>
                <c:pt idx="2">
                  <c:v>0.0570114218115796</c:v>
                </c:pt>
                <c:pt idx="3">
                  <c:v>0.0438002827641852</c:v>
                </c:pt>
                <c:pt idx="4">
                  <c:v>0.313372950887555</c:v>
                </c:pt>
                <c:pt idx="5">
                  <c:v>-0.107409848616992</c:v>
                </c:pt>
                <c:pt idx="6">
                  <c:v>-0.0479278643617573</c:v>
                </c:pt>
                <c:pt idx="7">
                  <c:v>0.0284285143407261</c:v>
                </c:pt>
                <c:pt idx="8">
                  <c:v>0.0477671838895972</c:v>
                </c:pt>
                <c:pt idx="9">
                  <c:v>0.0117466101977626</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万兆瓦</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16180555555556"/>
          <c:y val="0.094499663724466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年城市集中供热面积及同比变化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0856388888888889"/>
          <c:y val="0.209189497716895"/>
          <c:w val="0.841361111111111"/>
          <c:h val="0.662785388127854"/>
        </c:manualLayout>
      </c:layout>
      <c:barChart>
        <c:barDir val="col"/>
        <c:grouping val="clustered"/>
        <c:varyColors val="0"/>
        <c:ser>
          <c:idx val="1"/>
          <c:order val="0"/>
          <c:tx>
            <c:strRef>
              <c:f>"城市集中供热面积"</c:f>
              <c:strCache>
                <c:ptCount val="1"/>
                <c:pt idx="0">
                  <c:v>城市集中供热面积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'[22公报数据-前三部分0915.xlsx]集中供热面积 '!$A$5:$A$14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'[22公报数据-前三部分0915.xlsx]集中供热面积 '!$C$5:$C$14</c:f>
              <c:numCache>
                <c:formatCode>0.00_ </c:formatCode>
                <c:ptCount val="10"/>
                <c:pt idx="0">
                  <c:v>57.1677</c:v>
                </c:pt>
                <c:pt idx="1">
                  <c:v>61.124586</c:v>
                </c:pt>
                <c:pt idx="2">
                  <c:v>67.220487</c:v>
                </c:pt>
                <c:pt idx="3">
                  <c:v>73.8663</c:v>
                </c:pt>
                <c:pt idx="4">
                  <c:v>83.0858</c:v>
                </c:pt>
                <c:pt idx="5">
                  <c:v>87.804997</c:v>
                </c:pt>
                <c:pt idx="6">
                  <c:v>92.513684</c:v>
                </c:pt>
                <c:pt idx="7">
                  <c:v>98.82091</c:v>
                </c:pt>
                <c:pt idx="8">
                  <c:v>106.031613</c:v>
                </c:pt>
                <c:pt idx="9">
                  <c:v>111.25</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'[22公报数据-前三部分0915.xlsx]集中供热面积 '!$A$5:$A$14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'[22公报数据-前三部分0915.xlsx]集中供热面积 '!$D$5:$D$14</c:f>
              <c:numCache>
                <c:formatCode>0.00%</c:formatCode>
                <c:ptCount val="10"/>
                <c:pt idx="0">
                  <c:v>0.102840067288104</c:v>
                </c:pt>
                <c:pt idx="1">
                  <c:v>0.0692154135989378</c:v>
                </c:pt>
                <c:pt idx="2">
                  <c:v>0.099729117183714</c:v>
                </c:pt>
                <c:pt idx="3">
                  <c:v>0.0988658859314719</c:v>
                </c:pt>
                <c:pt idx="4">
                  <c:v>0.124813345192598</c:v>
                </c:pt>
                <c:pt idx="5">
                  <c:v>0.0567990799871938</c:v>
                </c:pt>
                <c:pt idx="6">
                  <c:v>0.0536266404063541</c:v>
                </c:pt>
                <c:pt idx="7">
                  <c:v>0.068176141380339</c:v>
                </c:pt>
                <c:pt idx="8">
                  <c:v>0.0729673810937381</c:v>
                </c:pt>
                <c:pt idx="9">
                  <c:v>0.0492153882446362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亿平方米</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9236111111111"/>
          <c:y val="0.1076275176057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en-US" sz="1200">
                <a:solidFill>
                  <a:sysClr val="windowText" lastClr="000000"/>
                </a:solidFill>
                <a:latin typeface="Times New Roman" panose="02020603050405020304" charset="0"/>
                <a:cs typeface="Times New Roman" panose="02020603050405020304" charset="0"/>
              </a:rPr>
              <a:t>2022年全国分省（区、市）和新疆兵团城市集中供热面积</a:t>
            </a:r>
            <a:endParaRPr lang="en-US" altLang="en-US" sz="1200">
              <a:solidFill>
                <a:sysClr val="windowText" lastClr="000000"/>
              </a:solidFill>
              <a:latin typeface="Times New Roman" panose="02020603050405020304" charset="0"/>
              <a:cs typeface="Times New Roman" panose="02020603050405020304" charset="0"/>
            </a:endParaRPr>
          </a:p>
        </c:rich>
      </c:tx>
      <c:layout>
        <c:manualLayout>
          <c:xMode val="edge"/>
          <c:yMode val="edge"/>
          <c:x val="0.177981131709725"/>
          <c:y val="0.00914355379457482"/>
        </c:manualLayout>
      </c:layout>
      <c:overlay val="0"/>
      <c:spPr>
        <a:noFill/>
        <a:ln>
          <a:noFill/>
        </a:ln>
        <a:effectLst/>
      </c:spPr>
    </c:title>
    <c:autoTitleDeleted val="0"/>
    <c:plotArea>
      <c:layout>
        <c:manualLayout>
          <c:layoutTarget val="inner"/>
          <c:xMode val="edge"/>
          <c:yMode val="edge"/>
          <c:x val="0.0800722891566265"/>
          <c:y val="0.171636615811373"/>
          <c:w val="0.893903614457831"/>
          <c:h val="0.510887656033287"/>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'[22公报数据-前三部分.xlsx]集中供热面积'!$A$32:$A$63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'[22公报数据-前三部分.xlsx]集中供热面积'!$C$32:$C$63</c:f>
              <c:numCache>
                <c:formatCode>0.00_ </c:formatCode>
                <c:ptCount val="32"/>
                <c:pt idx="0">
                  <c:v>7.13005</c:v>
                </c:pt>
                <c:pt idx="1">
                  <c:v>5.864834</c:v>
                </c:pt>
                <c:pt idx="2">
                  <c:v>9.603357</c:v>
                </c:pt>
                <c:pt idx="3">
                  <c:v>8.306971</c:v>
                </c:pt>
                <c:pt idx="4">
                  <c:v>6.879431</c:v>
                </c:pt>
                <c:pt idx="5">
                  <c:v>14.532042</c:v>
                </c:pt>
                <c:pt idx="6">
                  <c:v>7.194118</c:v>
                </c:pt>
                <c:pt idx="7">
                  <c:v>9.041643</c:v>
                </c:pt>
                <c:pt idx="9">
                  <c:v>0.354515</c:v>
                </c:pt>
                <c:pt idx="11">
                  <c:v>0.268375</c:v>
                </c:pt>
                <c:pt idx="14">
                  <c:v>19.231232</c:v>
                </c:pt>
                <c:pt idx="15">
                  <c:v>6.44031</c:v>
                </c:pt>
                <c:pt idx="16">
                  <c:v>0.200809</c:v>
                </c:pt>
                <c:pt idx="22">
                  <c:v>0.001948</c:v>
                </c:pt>
                <c:pt idx="23">
                  <c:v>0.020543</c:v>
                </c:pt>
                <c:pt idx="24">
                  <c:v>0.0188</c:v>
                </c:pt>
                <c:pt idx="25">
                  <c:v>0.0184</c:v>
                </c:pt>
                <c:pt idx="26">
                  <c:v>5.277685</c:v>
                </c:pt>
                <c:pt idx="27">
                  <c:v>3.070164</c:v>
                </c:pt>
                <c:pt idx="28">
                  <c:v>1.03966</c:v>
                </c:pt>
                <c:pt idx="29">
                  <c:v>1.561151</c:v>
                </c:pt>
                <c:pt idx="30">
                  <c:v>4.563522</c:v>
                </c:pt>
                <c:pt idx="31">
                  <c:v>0.630453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rPr>
                    <a:latin typeface="Times New Roman" panose="02020603050405020304" charset="0"/>
                  </a:rPr>
                  <a:t>亿平方米</a:t>
                </a:r>
                <a:endParaRPr>
                  <a:latin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年城市已建成和在建轨道交通长度及同比</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6635053241882"/>
          <c:y val="0.024083946101773"/>
        </c:manualLayout>
      </c:layout>
      <c:overlay val="0"/>
      <c:spPr>
        <a:noFill/>
        <a:ln>
          <a:noFill/>
        </a:ln>
        <a:effectLst/>
      </c:spPr>
    </c:title>
    <c:autoTitleDeleted val="0"/>
    <c:plotArea>
      <c:layout>
        <c:manualLayout>
          <c:layoutTarget val="inner"/>
          <c:xMode val="edge"/>
          <c:yMode val="edge"/>
          <c:x val="0.110779220779221"/>
          <c:y val="0.359456635318704"/>
          <c:w val="0.813939393939394"/>
          <c:h val="0.514211076280042"/>
        </c:manualLayout>
      </c:layout>
      <c:barChart>
        <c:barDir val="col"/>
        <c:grouping val="clustered"/>
        <c:varyColors val="0"/>
        <c:ser>
          <c:idx val="0"/>
          <c:order val="0"/>
          <c:tx>
            <c:strRef>
              <c:f>"已建成长度"</c:f>
              <c:strCache>
                <c:ptCount val="1"/>
                <c:pt idx="0">
                  <c:v>已建成长度</c:v>
                </c:pt>
              </c:strCache>
            </c:strRef>
          </c:tx>
          <c:spPr>
            <a:solidFill>
              <a:srgbClr val="C00000"/>
            </a:solidFill>
            <a:ln>
              <a:noFill/>
            </a:ln>
            <a:effectLst/>
          </c:spPr>
          <c:invertIfNegative val="0"/>
          <c:dLbls>
            <c:dLbl>
              <c:idx val="8"/>
              <c:layout>
                <c:manualLayout>
                  <c:x val="0.00132546089890348"/>
                  <c:y val="0.02772920309767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0915.xlsx]第五部分-轨道交通'!$B$5:$B$14</c:f>
              <c:numCache>
                <c:formatCode>0.00_);[Red]\(0.00\)</c:formatCode>
                <c:ptCount val="10"/>
                <c:pt idx="0">
                  <c:v>2213.28</c:v>
                </c:pt>
                <c:pt idx="1">
                  <c:v>2714.79</c:v>
                </c:pt>
                <c:pt idx="2">
                  <c:v>3069.23</c:v>
                </c:pt>
                <c:pt idx="3">
                  <c:v>3586.34</c:v>
                </c:pt>
                <c:pt idx="4">
                  <c:v>4594.26</c:v>
                </c:pt>
                <c:pt idx="5">
                  <c:v>5141.05</c:v>
                </c:pt>
                <c:pt idx="6">
                  <c:v>6058.9</c:v>
                </c:pt>
                <c:pt idx="7">
                  <c:v>7597.94</c:v>
                </c:pt>
                <c:pt idx="8">
                  <c:v>8571.43</c:v>
                </c:pt>
                <c:pt idx="9">
                  <c:v>9575.01</c:v>
                </c:pt>
              </c:numCache>
            </c:numRef>
          </c:val>
        </c:ser>
        <c:ser>
          <c:idx val="1"/>
          <c:order val="1"/>
          <c:tx>
            <c:strRef>
              <c:f>"在建长度"</c:f>
              <c:strCache>
                <c:ptCount val="1"/>
                <c:pt idx="0">
                  <c:v>在建长度</c:v>
                </c:pt>
              </c:strCache>
            </c:strRef>
          </c:tx>
          <c:spPr>
            <a:solidFill>
              <a:srgbClr val="00206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0915.xlsx]第五部分-轨道交通'!$C$5:$C$14</c:f>
              <c:numCache>
                <c:formatCode>0.00_ </c:formatCode>
                <c:ptCount val="10"/>
                <c:pt idx="0">
                  <c:v>2760.38</c:v>
                </c:pt>
                <c:pt idx="1">
                  <c:v>3004.37</c:v>
                </c:pt>
                <c:pt idx="2">
                  <c:v>3994.15</c:v>
                </c:pt>
                <c:pt idx="3">
                  <c:v>4870.18</c:v>
                </c:pt>
                <c:pt idx="4">
                  <c:v>4913.56</c:v>
                </c:pt>
                <c:pt idx="5">
                  <c:v>5400.25</c:v>
                </c:pt>
                <c:pt idx="6">
                  <c:v>5594.08</c:v>
                </c:pt>
                <c:pt idx="7">
                  <c:v>5093.55</c:v>
                </c:pt>
                <c:pt idx="8">
                  <c:v>5172.3</c:v>
                </c:pt>
                <c:pt idx="9">
                  <c:v>4802.89</c:v>
                </c:pt>
              </c:numCache>
            </c:numRef>
          </c:val>
        </c:ser>
        <c:dLbls>
          <c:showLegendKey val="0"/>
          <c:showVal val="1"/>
          <c:showCatName val="0"/>
          <c:showSerName val="0"/>
          <c:showPercent val="0"/>
          <c:showBubbleSize val="0"/>
        </c:dLbls>
        <c:gapWidth val="219"/>
        <c:overlap val="-27"/>
        <c:axId val="229917756"/>
        <c:axId val="295887690"/>
      </c:barChart>
      <c:lineChart>
        <c:grouping val="standard"/>
        <c:varyColors val="0"/>
        <c:ser>
          <c:idx val="2"/>
          <c:order val="2"/>
          <c:tx>
            <c:strRef>
              <c:f>"已建成同比"</c:f>
              <c:strCache>
                <c:ptCount val="1"/>
                <c:pt idx="0">
                  <c:v>已建成同比</c:v>
                </c:pt>
              </c:strCache>
            </c:strRef>
          </c:tx>
          <c:spPr>
            <a:ln w="28575" cap="rnd">
              <a:solidFill>
                <a:srgbClr val="C00000"/>
              </a:solidFill>
              <a:round/>
            </a:ln>
            <a:effectLst/>
          </c:spPr>
          <c:marker>
            <c:symbol val="circle"/>
            <c:size val="5"/>
            <c:spPr>
              <a:solidFill>
                <a:schemeClr val="bg1"/>
              </a:solidFill>
              <a:ln w="9525">
                <a:solidFill>
                  <a:srgbClr val="C00000"/>
                </a:solidFill>
              </a:ln>
              <a:effectLst/>
            </c:spPr>
          </c:marker>
          <c:dLbls>
            <c:delete val="1"/>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0915.xlsx]第五部分-轨道交通'!$D$5:$D$14</c:f>
              <c:numCache>
                <c:formatCode>0.00%</c:formatCode>
                <c:ptCount val="10"/>
                <c:pt idx="0">
                  <c:v>0.103588577582983</c:v>
                </c:pt>
                <c:pt idx="1">
                  <c:v>0.226591303404901</c:v>
                </c:pt>
                <c:pt idx="2">
                  <c:v>0.130558901425156</c:v>
                </c:pt>
                <c:pt idx="3">
                  <c:v>0.168481997113282</c:v>
                </c:pt>
                <c:pt idx="4">
                  <c:v>0.28104418432162</c:v>
                </c:pt>
                <c:pt idx="5">
                  <c:v>0.11901590245219</c:v>
                </c:pt>
                <c:pt idx="6">
                  <c:v>0.178533568045438</c:v>
                </c:pt>
                <c:pt idx="7">
                  <c:v>0.25401310468897</c:v>
                </c:pt>
                <c:pt idx="8">
                  <c:v>0.128125518232574</c:v>
                </c:pt>
                <c:pt idx="9">
                  <c:v>0.117084313819281</c:v>
                </c:pt>
              </c:numCache>
            </c:numRef>
          </c:val>
          <c:smooth val="0"/>
        </c:ser>
        <c:ser>
          <c:idx val="3"/>
          <c:order val="3"/>
          <c:tx>
            <c:strRef>
              <c:f>"在建同比"</c:f>
              <c:strCache>
                <c:ptCount val="1"/>
                <c:pt idx="0">
                  <c:v>在建同比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strRef>
              <c:f>'[22年公报图表四五六部分 0915.xlsx]第五部分-轨道交通'!$A$5:$A$14</c:f>
              <c:strCache>
                <c:ptCount val="10"/>
                <c:pt idx="0" c:formatCode="@">
                  <c:v>2013</c:v>
                </c:pt>
                <c:pt idx="1" c:formatCode="@">
                  <c:v>2014</c:v>
                </c:pt>
                <c:pt idx="2" c:formatCode="@">
                  <c:v>2015</c:v>
                </c:pt>
                <c:pt idx="3" c:formatCode="@">
                  <c:v>2016</c:v>
                </c:pt>
                <c:pt idx="4" c:formatCode="@">
                  <c:v>2017</c:v>
                </c:pt>
                <c:pt idx="5" c:formatCode="@">
                  <c:v>2018</c:v>
                </c:pt>
                <c:pt idx="6" c:formatCode="@">
                  <c:v>2019</c:v>
                </c:pt>
                <c:pt idx="7" c:formatCode="@">
                  <c:v>2020</c:v>
                </c:pt>
                <c:pt idx="8" c:formatCode="@">
                  <c:v>2021</c:v>
                </c:pt>
                <c:pt idx="9" c:formatCode="@">
                  <c:v>2022</c:v>
                </c:pt>
              </c:strCache>
            </c:strRef>
          </c:cat>
          <c:val>
            <c:numRef>
              <c:f>'[22年公报图表四五六部分 0915.xlsx]第五部分-轨道交通'!$E$5:$E$14</c:f>
              <c:numCache>
                <c:formatCode>0.00%</c:formatCode>
                <c:ptCount val="10"/>
                <c:pt idx="0">
                  <c:v>0.33971064292405</c:v>
                </c:pt>
                <c:pt idx="1">
                  <c:v>0.0883900042747736</c:v>
                </c:pt>
                <c:pt idx="2">
                  <c:v>0.329446772534675</c:v>
                </c:pt>
                <c:pt idx="3">
                  <c:v>0.219328267591352</c:v>
                </c:pt>
                <c:pt idx="4">
                  <c:v>0.00890726831451816</c:v>
                </c:pt>
                <c:pt idx="5">
                  <c:v>0.0990503830216787</c:v>
                </c:pt>
                <c:pt idx="6">
                  <c:v>0.0358927827415396</c:v>
                </c:pt>
                <c:pt idx="7">
                  <c:v>-0.0894749449417958</c:v>
                </c:pt>
                <c:pt idx="8">
                  <c:v>0.015460729746444</c:v>
                </c:pt>
                <c:pt idx="9">
                  <c:v>-0.0714208379251011</c:v>
                </c:pt>
              </c:numCache>
            </c:numRef>
          </c:val>
          <c:smooth val="0"/>
        </c:ser>
        <c:dLbls>
          <c:showLegendKey val="0"/>
          <c:showVal val="0"/>
          <c:showCatName val="0"/>
          <c:showSerName val="0"/>
          <c:showPercent val="0"/>
          <c:showBubbleSize val="0"/>
        </c:dLbls>
        <c:marker val="1"/>
        <c:smooth val="0"/>
        <c:axId val="881448069"/>
        <c:axId val="311120169"/>
      </c:lineChart>
      <c:catAx>
        <c:axId val="229917756"/>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95887690"/>
        <c:crosses val="autoZero"/>
        <c:auto val="1"/>
        <c:lblAlgn val="ctr"/>
        <c:lblOffset val="100"/>
        <c:noMultiLvlLbl val="0"/>
      </c:catAx>
      <c:valAx>
        <c:axId val="295887690"/>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29917756"/>
        <c:crosses val="autoZero"/>
        <c:crossBetween val="between"/>
      </c:valAx>
      <c:catAx>
        <c:axId val="881448069"/>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1120169"/>
        <c:crosses val="autoZero"/>
        <c:auto val="1"/>
        <c:lblAlgn val="ctr"/>
        <c:lblOffset val="100"/>
        <c:noMultiLvlLbl val="0"/>
      </c:catAx>
      <c:valAx>
        <c:axId val="311120169"/>
        <c:scaling>
          <c:orientation val="minMax"/>
        </c:scaling>
        <c:delete val="0"/>
        <c:axPos val="r"/>
        <c:numFmt formatCode="0%" sourceLinked="0"/>
        <c:majorTickMark val="in"/>
        <c:minorTickMark val="none"/>
        <c:tickLblPos val="nextTo"/>
        <c:spPr>
          <a:noFill/>
          <a:ln>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48069"/>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4522072581623"/>
          <c:y val="0.1368579309694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年城市城区人口及同比变化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35573730303645"/>
          <c:y val="0.0157638487756921"/>
        </c:manualLayout>
      </c:layout>
      <c:overlay val="0"/>
      <c:spPr>
        <a:noFill/>
        <a:ln>
          <a:noFill/>
        </a:ln>
        <a:effectLst/>
      </c:spPr>
    </c:title>
    <c:autoTitleDeleted val="0"/>
    <c:plotArea>
      <c:layout>
        <c:manualLayout>
          <c:layoutTarget val="inner"/>
          <c:xMode val="edge"/>
          <c:yMode val="edge"/>
          <c:x val="0.0855264759586123"/>
          <c:y val="0.194460641399417"/>
          <c:w val="0.842702373706634"/>
          <c:h val="0.685539358600583"/>
        </c:manualLayout>
      </c:layout>
      <c:barChart>
        <c:barDir val="col"/>
        <c:grouping val="clustered"/>
        <c:varyColors val="0"/>
        <c:ser>
          <c:idx val="1"/>
          <c:order val="0"/>
          <c:tx>
            <c:strRef>
              <c:f>"城市城区人口"</c:f>
              <c:strCache>
                <c:ptCount val="1"/>
                <c:pt idx="0">
                  <c:v>城市城区人口</c:v>
                </c:pt>
              </c:strCache>
            </c:strRef>
          </c:tx>
          <c:spPr>
            <a:solidFill>
              <a:srgbClr val="C00000"/>
            </a:solidFill>
            <a:ln>
              <a:noFill/>
            </a:ln>
            <a:effectLst/>
          </c:spPr>
          <c:invertIfNegative val="0"/>
          <c:dLbls>
            <c:dLbl>
              <c:idx val="0"/>
              <c:layout>
                <c:manualLayout>
                  <c:x val="0"/>
                  <c:y val="-0.02594752186588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373097991479"/>
                  <c:y val="-0.0291545189504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6705539358600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451895043731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'[22公报数据-前三部分0915.xlsx]城区人口'!$A$5:$A$14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'[22公报数据-前三部分0915.xlsx]城区人口'!$D$5:$D$14</c:f>
              <c:numCache>
                <c:formatCode>0.00_ </c:formatCode>
                <c:ptCount val="10"/>
                <c:pt idx="0">
                  <c:v>4.33182</c:v>
                </c:pt>
                <c:pt idx="1">
                  <c:v>4.452804</c:v>
                </c:pt>
                <c:pt idx="2">
                  <c:v>4.59993</c:v>
                </c:pt>
                <c:pt idx="3">
                  <c:v>4.771318</c:v>
                </c:pt>
                <c:pt idx="4">
                  <c:v>4.91398</c:v>
                </c:pt>
                <c:pt idx="5">
                  <c:v>5.115172</c:v>
                </c:pt>
                <c:pt idx="6">
                  <c:v>5.24156</c:v>
                </c:pt>
                <c:pt idx="7">
                  <c:v>5.376276</c:v>
                </c:pt>
                <c:pt idx="8">
                  <c:v>5.592796</c:v>
                </c:pt>
                <c:pt idx="9">
                  <c:v>5.648817</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'[22公报数据-前三部分0915.xlsx]城区人口'!$A$5:$A$14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'[22公报数据-前三部分0915.xlsx]城区人口'!$E$5:$E$14</c:f>
              <c:numCache>
                <c:formatCode>0.00%</c:formatCode>
                <c:ptCount val="10"/>
                <c:pt idx="0">
                  <c:v>0.0258461451021623</c:v>
                </c:pt>
                <c:pt idx="1">
                  <c:v>0.0279291383298477</c:v>
                </c:pt>
                <c:pt idx="2">
                  <c:v>0.0330412028016502</c:v>
                </c:pt>
                <c:pt idx="3">
                  <c:v>0.0372588278517283</c:v>
                </c:pt>
                <c:pt idx="4">
                  <c:v>0.029899914447119</c:v>
                </c:pt>
                <c:pt idx="5">
                  <c:v>0.0409427795798927</c:v>
                </c:pt>
                <c:pt idx="6">
                  <c:v>0.0247084555514456</c:v>
                </c:pt>
                <c:pt idx="7">
                  <c:v>0.0257015087111472</c:v>
                </c:pt>
                <c:pt idx="8">
                  <c:v>0.0402732300201851</c:v>
                </c:pt>
                <c:pt idx="9">
                  <c:v>0.0100166356863365</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3"/>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亿人</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11876986542"/>
          <c:y val="0.1223488856049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年全国分省（区、市）和新疆兵团城市已建成轨道交通长度</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42399626615979"/>
          <c:y val="0.0102739726027397"/>
        </c:manualLayout>
      </c:layout>
      <c:overlay val="0"/>
      <c:spPr>
        <a:noFill/>
        <a:ln>
          <a:noFill/>
        </a:ln>
        <a:effectLst/>
      </c:spPr>
    </c:title>
    <c:autoTitleDeleted val="0"/>
    <c:plotArea>
      <c:layout>
        <c:manualLayout>
          <c:layoutTarget val="inner"/>
          <c:xMode val="edge"/>
          <c:yMode val="edge"/>
          <c:x val="0.103325581395349"/>
          <c:y val="0.3"/>
          <c:w val="0.871093023255814"/>
          <c:h val="0.386438356164384"/>
        </c:manualLayout>
      </c:layout>
      <c:barChart>
        <c:barDir val="col"/>
        <c:grouping val="clustered"/>
        <c:varyColors val="0"/>
        <c:ser>
          <c:idx val="0"/>
          <c:order val="0"/>
          <c:tx>
            <c:strRef>
              <c:f>"已建成长度"</c:f>
              <c:strCache>
                <c:ptCount val="1"/>
                <c:pt idx="0">
                  <c:v>已建成长度</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'[22年公报图表四五六部分.xlsx]第五部分-轨道交通'!$B$21:$B$52</c:f>
              <c:numCache>
                <c:formatCode>0.00_);[Red]\(0.00\)</c:formatCode>
                <c:ptCount val="32"/>
                <c:pt idx="0">
                  <c:v>864.13</c:v>
                </c:pt>
                <c:pt idx="1">
                  <c:v>293.86</c:v>
                </c:pt>
                <c:pt idx="2">
                  <c:v>76.4</c:v>
                </c:pt>
                <c:pt idx="3">
                  <c:v>23.65</c:v>
                </c:pt>
                <c:pt idx="4">
                  <c:v>49.03</c:v>
                </c:pt>
                <c:pt idx="5">
                  <c:v>428.62</c:v>
                </c:pt>
                <c:pt idx="6">
                  <c:v>108.71</c:v>
                </c:pt>
                <c:pt idx="7">
                  <c:v>79.72</c:v>
                </c:pt>
                <c:pt idx="8">
                  <c:v>831.58</c:v>
                </c:pt>
                <c:pt idx="9">
                  <c:v>1055.41</c:v>
                </c:pt>
                <c:pt idx="10">
                  <c:v>797.24</c:v>
                </c:pt>
                <c:pt idx="11">
                  <c:v>217.2</c:v>
                </c:pt>
                <c:pt idx="12">
                  <c:v>212.01</c:v>
                </c:pt>
                <c:pt idx="13">
                  <c:v>128.31</c:v>
                </c:pt>
                <c:pt idx="14">
                  <c:v>407.96</c:v>
                </c:pt>
                <c:pt idx="15">
                  <c:v>238.36</c:v>
                </c:pt>
                <c:pt idx="16">
                  <c:v>536.87</c:v>
                </c:pt>
                <c:pt idx="17">
                  <c:v>238.93</c:v>
                </c:pt>
                <c:pt idx="18">
                  <c:v>1242.94</c:v>
                </c:pt>
                <c:pt idx="19">
                  <c:v>128.44</c:v>
                </c:pt>
                <c:pt idx="20">
                  <c:v>8.37</c:v>
                </c:pt>
                <c:pt idx="21">
                  <c:v>459.89</c:v>
                </c:pt>
                <c:pt idx="22">
                  <c:v>554.7</c:v>
                </c:pt>
                <c:pt idx="23">
                  <c:v>75.71</c:v>
                </c:pt>
                <c:pt idx="24">
                  <c:v>179.31</c:v>
                </c:pt>
                <c:pt idx="26">
                  <c:v>271.2</c:v>
                </c:pt>
                <c:pt idx="27">
                  <c:v>38.84</c:v>
                </c:pt>
                <c:pt idx="30">
                  <c:v>27.62</c:v>
                </c:pt>
              </c:numCache>
            </c:numRef>
          </c:val>
        </c:ser>
        <c:dLbls>
          <c:showLegendKey val="0"/>
          <c:showVal val="1"/>
          <c:showCatName val="0"/>
          <c:showSerName val="0"/>
          <c:showPercent val="0"/>
          <c:showBubbleSize val="0"/>
        </c:dLbls>
        <c:gapWidth val="100"/>
        <c:overlap val="-39"/>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年全国分省（区、市）和新疆兵团城市在建轨道交通长度</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3412482710661"/>
          <c:y val="0.0119379228014326"/>
        </c:manualLayout>
      </c:layout>
      <c:overlay val="0"/>
      <c:spPr>
        <a:noFill/>
        <a:ln>
          <a:noFill/>
        </a:ln>
        <a:effectLst/>
      </c:spPr>
    </c:title>
    <c:autoTitleDeleted val="0"/>
    <c:plotArea>
      <c:layout>
        <c:manualLayout>
          <c:layoutTarget val="inner"/>
          <c:xMode val="edge"/>
          <c:yMode val="edge"/>
          <c:x val="0.080891448069951"/>
          <c:y val="0.275506698728959"/>
          <c:w val="0.865365749626786"/>
          <c:h val="0.409962212298179"/>
        </c:manualLayout>
      </c:layout>
      <c:barChart>
        <c:barDir val="col"/>
        <c:grouping val="clustered"/>
        <c:varyColors val="0"/>
        <c:ser>
          <c:idx val="1"/>
          <c:order val="0"/>
          <c:tx>
            <c:strRef>
              <c:f>"在建长度"</c:f>
              <c:strCache>
                <c:ptCount val="1"/>
                <c:pt idx="0">
                  <c:v>在建长度</c:v>
                </c:pt>
              </c:strCache>
            </c:strRef>
          </c:tx>
          <c:spPr>
            <a:solidFill>
              <a:srgbClr val="00206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'[22年公报图表四五六部分.xlsx]第五部分-轨道交通'!$C$21:$C$52</c:f>
              <c:numCache>
                <c:formatCode>0.00_ </c:formatCode>
                <c:ptCount val="32"/>
                <c:pt idx="0">
                  <c:v>262.17</c:v>
                </c:pt>
                <c:pt idx="1">
                  <c:v>210.4</c:v>
                </c:pt>
                <c:pt idx="2">
                  <c:v>45.3</c:v>
                </c:pt>
                <c:pt idx="3">
                  <c:v>28.74</c:v>
                </c:pt>
                <c:pt idx="5">
                  <c:v>187.89</c:v>
                </c:pt>
                <c:pt idx="6">
                  <c:v>124.93</c:v>
                </c:pt>
                <c:pt idx="7">
                  <c:v>12.99</c:v>
                </c:pt>
                <c:pt idx="8">
                  <c:v>161.85</c:v>
                </c:pt>
                <c:pt idx="9">
                  <c:v>562.83</c:v>
                </c:pt>
                <c:pt idx="10">
                  <c:v>452.87</c:v>
                </c:pt>
                <c:pt idx="11">
                  <c:v>160.61</c:v>
                </c:pt>
                <c:pt idx="12">
                  <c:v>228.78</c:v>
                </c:pt>
                <c:pt idx="13">
                  <c:v>31.75</c:v>
                </c:pt>
                <c:pt idx="14">
                  <c:v>388.02</c:v>
                </c:pt>
                <c:pt idx="15">
                  <c:v>217.07</c:v>
                </c:pt>
                <c:pt idx="16">
                  <c:v>146.72</c:v>
                </c:pt>
                <c:pt idx="17">
                  <c:v>83.76</c:v>
                </c:pt>
                <c:pt idx="18">
                  <c:v>628.54</c:v>
                </c:pt>
                <c:pt idx="19">
                  <c:v>3.9</c:v>
                </c:pt>
                <c:pt idx="21">
                  <c:v>281.43</c:v>
                </c:pt>
                <c:pt idx="22">
                  <c:v>256.28</c:v>
                </c:pt>
                <c:pt idx="23">
                  <c:v>73.35</c:v>
                </c:pt>
                <c:pt idx="24">
                  <c:v>20.34</c:v>
                </c:pt>
                <c:pt idx="26">
                  <c:v>162.2</c:v>
                </c:pt>
                <c:pt idx="27">
                  <c:v>9.06</c:v>
                </c:pt>
                <c:pt idx="30">
                  <c:v>61.11</c:v>
                </c:pt>
              </c:numCache>
            </c:numRef>
          </c:val>
        </c:ser>
        <c:dLbls>
          <c:showLegendKey val="0"/>
          <c:showVal val="1"/>
          <c:showCatName val="0"/>
          <c:showSerName val="0"/>
          <c:showPercent val="0"/>
          <c:showBubbleSize val="0"/>
        </c:dLbls>
        <c:gapWidth val="100"/>
        <c:overlap val="-39"/>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年全国城市道路长度及同比变化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6532234105763"/>
          <c:y val="0.00856164383561644"/>
        </c:manualLayout>
      </c:layout>
      <c:overlay val="0"/>
      <c:spPr>
        <a:noFill/>
        <a:ln>
          <a:noFill/>
        </a:ln>
        <a:effectLst/>
      </c:spPr>
    </c:title>
    <c:autoTitleDeleted val="0"/>
    <c:plotArea>
      <c:layout>
        <c:manualLayout>
          <c:layoutTarget val="inner"/>
          <c:xMode val="edge"/>
          <c:yMode val="edge"/>
          <c:x val="0.0788780169602087"/>
          <c:y val="0.20784069695084"/>
          <c:w val="0.852550554468363"/>
          <c:h val="0.656938394523958"/>
        </c:manualLayout>
      </c:layout>
      <c:barChart>
        <c:barDir val="col"/>
        <c:grouping val="clustered"/>
        <c:varyColors val="0"/>
        <c:ser>
          <c:idx val="1"/>
          <c:order val="0"/>
          <c:tx>
            <c:strRef>
              <c:f>"城市道路长度"</c:f>
              <c:strCache>
                <c:ptCount val="1"/>
                <c:pt idx="0">
                  <c:v>城市道路长度</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0915.xlsx]第五部分道路'!$A$5:$A$14</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0915.xlsx]第五部分道路'!$D$5:$D$14</c:f>
              <c:numCache>
                <c:formatCode>0.00_);[Red]\(0.00\)</c:formatCode>
                <c:ptCount val="10"/>
                <c:pt idx="0">
                  <c:v>33.6304</c:v>
                </c:pt>
                <c:pt idx="1">
                  <c:v>35.233333</c:v>
                </c:pt>
                <c:pt idx="2">
                  <c:v>36.49776</c:v>
                </c:pt>
                <c:pt idx="3">
                  <c:v>38.245362</c:v>
                </c:pt>
                <c:pt idx="4">
                  <c:v>39.783023</c:v>
                </c:pt>
                <c:pt idx="5">
                  <c:v>43.223112</c:v>
                </c:pt>
                <c:pt idx="6">
                  <c:v>45.930444</c:v>
                </c:pt>
                <c:pt idx="7">
                  <c:v>49.265037</c:v>
                </c:pt>
                <c:pt idx="8">
                  <c:v>53.247643</c:v>
                </c:pt>
                <c:pt idx="9">
                  <c:v>55.216272</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0915.xlsx]第五部分道路'!$F$5:$F$14</c:f>
              <c:numCache>
                <c:formatCode>0.00%</c:formatCode>
                <c:ptCount val="10"/>
                <c:pt idx="0">
                  <c:v>0.0281979081634214</c:v>
                </c:pt>
                <c:pt idx="1">
                  <c:v>0.0476632154241401</c:v>
                </c:pt>
                <c:pt idx="2">
                  <c:v>0.0358872378040418</c:v>
                </c:pt>
                <c:pt idx="3">
                  <c:v>0.0478824453884295</c:v>
                </c:pt>
                <c:pt idx="4">
                  <c:v>0.0402051626547553</c:v>
                </c:pt>
                <c:pt idx="5">
                  <c:v>0.086471281983775</c:v>
                </c:pt>
                <c:pt idx="6">
                  <c:v>0.062636211848883</c:v>
                </c:pt>
                <c:pt idx="7">
                  <c:v>0.072600931094853</c:v>
                </c:pt>
                <c:pt idx="8">
                  <c:v>0.0808404142678307</c:v>
                </c:pt>
                <c:pt idx="9">
                  <c:v>0.0369711951381584</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6519592723542"/>
          <c:y val="0.09619245752328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年全国城市道路面积及同比变化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6532234105763"/>
          <c:y val="0.00880281690140845"/>
        </c:manualLayout>
      </c:layout>
      <c:overlay val="0"/>
      <c:spPr>
        <a:noFill/>
        <a:ln>
          <a:noFill/>
        </a:ln>
        <a:effectLst/>
      </c:spPr>
    </c:title>
    <c:autoTitleDeleted val="0"/>
    <c:plotArea>
      <c:layout>
        <c:manualLayout>
          <c:layoutTarget val="inner"/>
          <c:xMode val="edge"/>
          <c:yMode val="edge"/>
          <c:x val="0.0846183953033268"/>
          <c:y val="0.215619166148102"/>
          <c:w val="0.830763209393346"/>
          <c:h val="0.646670815183572"/>
        </c:manualLayout>
      </c:layout>
      <c:barChart>
        <c:barDir val="col"/>
        <c:grouping val="clustered"/>
        <c:varyColors val="0"/>
        <c:ser>
          <c:idx val="1"/>
          <c:order val="0"/>
          <c:tx>
            <c:strRef>
              <c:f>"城市道路面积"</c:f>
              <c:strCache>
                <c:ptCount val="1"/>
                <c:pt idx="0">
                  <c:v>城市道路面积</c:v>
                </c:pt>
              </c:strCache>
            </c:strRef>
          </c:tx>
          <c:spPr>
            <a:solidFill>
              <a:srgbClr val="C00000"/>
            </a:solidFill>
            <a:ln>
              <a:noFill/>
            </a:ln>
            <a:effectLst/>
          </c:spPr>
          <c:invertIfNegative val="0"/>
          <c:dLbls>
            <c:dLbl>
              <c:idx val="5"/>
              <c:layout>
                <c:manualLayout>
                  <c:x val="0"/>
                  <c:y val="0.0136986301369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6514934133299"/>
                  <c:y val="0.0479452054794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0915.xlsx]第五部分道路'!$A$5:$A$14</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0915.xlsx]第五部分道路'!$E$5:$E$14</c:f>
              <c:numCache>
                <c:formatCode>#,##0.00_ </c:formatCode>
                <c:ptCount val="10"/>
                <c:pt idx="0">
                  <c:v>64.4155</c:v>
                </c:pt>
                <c:pt idx="1">
                  <c:v>68.30279</c:v>
                </c:pt>
                <c:pt idx="2">
                  <c:v>71.767511</c:v>
                </c:pt>
                <c:pt idx="3">
                  <c:v>75.381886</c:v>
                </c:pt>
                <c:pt idx="4">
                  <c:v>78.885258</c:v>
                </c:pt>
                <c:pt idx="5">
                  <c:v>85.426818</c:v>
                </c:pt>
                <c:pt idx="6">
                  <c:v>90.979113</c:v>
                </c:pt>
                <c:pt idx="7">
                  <c:v>96.980254</c:v>
                </c:pt>
                <c:pt idx="8">
                  <c:v>105.365518</c:v>
                </c:pt>
                <c:pt idx="9">
                  <c:v>108.93301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0915.xlsx]第五部分道路'!$G$5:$G$14</c:f>
              <c:numCache>
                <c:formatCode>0.00%</c:formatCode>
                <c:ptCount val="10"/>
                <c:pt idx="0">
                  <c:v>0.0604264720165808</c:v>
                </c:pt>
                <c:pt idx="1">
                  <c:v>0.060347121422639</c:v>
                </c:pt>
                <c:pt idx="2">
                  <c:v>0.0507259073897273</c:v>
                </c:pt>
                <c:pt idx="3">
                  <c:v>0.0503622732576026</c:v>
                </c:pt>
                <c:pt idx="4">
                  <c:v>0.0464749847198038</c:v>
                </c:pt>
                <c:pt idx="5">
                  <c:v>0.0829249997509041</c:v>
                </c:pt>
                <c:pt idx="6">
                  <c:v>0.0649947537551965</c:v>
                </c:pt>
                <c:pt idx="7">
                  <c:v>0.0659617444280864</c:v>
                </c:pt>
                <c:pt idx="8">
                  <c:v>0.0864636217595387</c:v>
                </c:pt>
                <c:pt idx="9">
                  <c:v>0.0338582495271367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亿平方米</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84498137762"/>
          <c:y val="0.1170387549719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年全国城市人均道路面积及同比变化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09985259777615"/>
          <c:y val="0.00880281690140845"/>
        </c:manualLayout>
      </c:layout>
      <c:overlay val="0"/>
      <c:spPr>
        <a:noFill/>
        <a:ln>
          <a:noFill/>
        </a:ln>
        <a:effectLst/>
      </c:spPr>
    </c:title>
    <c:autoTitleDeleted val="0"/>
    <c:plotArea>
      <c:layout>
        <c:manualLayout>
          <c:layoutTarget val="inner"/>
          <c:xMode val="edge"/>
          <c:yMode val="edge"/>
          <c:x val="0.0803131115459883"/>
          <c:y val="0.228441262609828"/>
          <c:w val="0.842374429223744"/>
          <c:h val="0.637617962902701"/>
        </c:manualLayout>
      </c:layout>
      <c:barChart>
        <c:barDir val="col"/>
        <c:grouping val="clustered"/>
        <c:varyColors val="0"/>
        <c:ser>
          <c:idx val="1"/>
          <c:order val="0"/>
          <c:tx>
            <c:strRef>
              <c:f>"人均道路面积"</c:f>
              <c:strCache>
                <c:ptCount val="1"/>
                <c:pt idx="0">
                  <c:v>人均道路面积</c:v>
                </c:pt>
              </c:strCache>
            </c:strRef>
          </c:tx>
          <c:spPr>
            <a:solidFill>
              <a:srgbClr val="C00000"/>
            </a:solidFill>
            <a:ln>
              <a:noFill/>
            </a:ln>
            <a:effectLst/>
          </c:spPr>
          <c:invertIfNegative val="0"/>
          <c:dLbls>
            <c:dLbl>
              <c:idx val="5"/>
              <c:layout>
                <c:manualLayout>
                  <c:x val="0"/>
                  <c:y val="0.0136986301369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6514934133299"/>
                  <c:y val="0.0479452054794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0_ "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0915.xlsx]第五部分道路'!$A$5:$A$14</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0915.xlsx]第五部分道路'!$I$5:$I$14</c:f>
              <c:numCache>
                <c:formatCode>0.00_);[Red]\(0.00\)</c:formatCode>
                <c:ptCount val="10"/>
                <c:pt idx="0">
                  <c:v>14.87</c:v>
                </c:pt>
                <c:pt idx="1">
                  <c:v>15.34</c:v>
                </c:pt>
                <c:pt idx="2">
                  <c:v>15.6</c:v>
                </c:pt>
                <c:pt idx="3">
                  <c:v>15.8</c:v>
                </c:pt>
                <c:pt idx="4">
                  <c:v>16.05</c:v>
                </c:pt>
                <c:pt idx="5">
                  <c:v>16.7006736039375</c:v>
                </c:pt>
                <c:pt idx="6">
                  <c:v>17.355097146651</c:v>
                </c:pt>
                <c:pt idx="7">
                  <c:v>18.0384885802419</c:v>
                </c:pt>
                <c:pt idx="8">
                  <c:v>18.84</c:v>
                </c:pt>
                <c:pt idx="9" c:formatCode="#,##0.00">
                  <c:v>19.2842165005522</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0915.xlsx]第五部分道路'!$J$5:$J$14</c:f>
              <c:numCache>
                <c:formatCode>0.0%</c:formatCode>
                <c:ptCount val="10"/>
                <c:pt idx="0">
                  <c:v>0.0333564975677554</c:v>
                </c:pt>
                <c:pt idx="1">
                  <c:v>0.031607262945528</c:v>
                </c:pt>
                <c:pt idx="2">
                  <c:v>0.0169491525423728</c:v>
                </c:pt>
                <c:pt idx="3">
                  <c:v>0.012820512820513</c:v>
                </c:pt>
                <c:pt idx="4">
                  <c:v>0.0158227848101267</c:v>
                </c:pt>
                <c:pt idx="5">
                  <c:v>0.0405404114602803</c:v>
                </c:pt>
                <c:pt idx="6">
                  <c:v>0.0391854579182485</c:v>
                </c:pt>
                <c:pt idx="7">
                  <c:v>0.0393769869345122</c:v>
                </c:pt>
                <c:pt idx="8">
                  <c:v>0.0444334022882638</c:v>
                </c:pt>
                <c:pt idx="9" c:formatCode="0.00%">
                  <c:v>0.0235783705176327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平方米</a:t>
                </a:r>
              </a:p>
            </c:rich>
          </c:tx>
          <c:layout>
            <c:manualLayout>
              <c:xMode val="edge"/>
              <c:yMode val="edge"/>
              <c:x val="0.00391389432485323"/>
              <c:y val="0.428025968555114"/>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2214308966203"/>
          <c:y val="0.1156111413607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年全国分省（区、市）和新疆兵团城市人均道路面积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77497431213609"/>
          <c:y val="0.290826469752911"/>
          <c:w val="0.886790729535335"/>
          <c:h val="0.437773359840954"/>
        </c:manualLayout>
      </c:layout>
      <c:barChart>
        <c:barDir val="col"/>
        <c:grouping val="clustered"/>
        <c:varyColors val="0"/>
        <c:ser>
          <c:idx val="0"/>
          <c:order val="0"/>
          <c:tx>
            <c:strRef>
              <c:f>"城市人均道路面积"</c:f>
              <c:strCache>
                <c:ptCount val="1"/>
                <c:pt idx="0">
                  <c:v>城市人均道路面积</c:v>
                </c:pt>
              </c:strCache>
            </c:strRef>
          </c:tx>
          <c:spPr>
            <a:solidFill>
              <a:srgbClr val="C00000"/>
            </a:solidFill>
            <a:ln>
              <a:noFill/>
            </a:ln>
            <a:effectLst/>
          </c:spPr>
          <c:invertIfNegative val="0"/>
          <c:dLbls>
            <c:dLbl>
              <c:idx val="1"/>
              <c:layout>
                <c:manualLayout>
                  <c:x val="-0.000913346272405526"/>
                  <c:y val="0.009656347628514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85420710126727"/>
                  <c:y val="0.01050837830161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06190931294466"/>
                  <c:y val="0.01249644987219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0685009704304144"/>
                  <c:y val="0.014200511218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19260189519352"/>
                  <c:y val="0.014200511218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
                  <c:y val="0.0153365521158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787761159949766"/>
                  <c:y val="-0.00227208179494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0216919739696312"/>
                  <c:y val="0.01675660323771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
                  <c:y val="-0.008236296506674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0.00285420710126727"/>
                  <c:y val="0.0195967054813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0.00137001940860829"/>
                  <c:y val="0.014200511218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[22年公报图表四五六部分.xlsx]第五部分道路!$B$46:$B$77</c:f>
              <c:numCache>
                <c:formatCode>#,##0.00</c:formatCode>
                <c:ptCount val="32"/>
                <c:pt idx="0">
                  <c:v>8.03785027185278</c:v>
                </c:pt>
                <c:pt idx="1">
                  <c:v>16.1081141655245</c:v>
                </c:pt>
                <c:pt idx="2">
                  <c:v>21.1970585153884</c:v>
                </c:pt>
                <c:pt idx="3">
                  <c:v>18.7135078550392</c:v>
                </c:pt>
                <c:pt idx="4">
                  <c:v>24.5679447721638</c:v>
                </c:pt>
                <c:pt idx="5">
                  <c:v>19.3748420315595</c:v>
                </c:pt>
                <c:pt idx="6">
                  <c:v>17.1544059418321</c:v>
                </c:pt>
                <c:pt idx="7">
                  <c:v>16.6319841938577</c:v>
                </c:pt>
                <c:pt idx="8">
                  <c:v>4.99820266651588</c:v>
                </c:pt>
                <c:pt idx="9">
                  <c:v>25.6555206596407</c:v>
                </c:pt>
                <c:pt idx="10">
                  <c:v>19.6009778042732</c:v>
                </c:pt>
                <c:pt idx="11">
                  <c:v>24.5663978398392</c:v>
                </c:pt>
                <c:pt idx="12">
                  <c:v>21.9567050848355</c:v>
                </c:pt>
                <c:pt idx="13">
                  <c:v>25.9190838816735</c:v>
                </c:pt>
                <c:pt idx="14">
                  <c:v>26.4528653670812</c:v>
                </c:pt>
                <c:pt idx="15">
                  <c:v>16.86137045507</c:v>
                </c:pt>
                <c:pt idx="16">
                  <c:v>19.6699685289115</c:v>
                </c:pt>
                <c:pt idx="17">
                  <c:v>20.3526684408136</c:v>
                </c:pt>
                <c:pt idx="18">
                  <c:v>15.0187632687549</c:v>
                </c:pt>
                <c:pt idx="19">
                  <c:v>24.4045364935873</c:v>
                </c:pt>
                <c:pt idx="20">
                  <c:v>25.2732647120607</c:v>
                </c:pt>
                <c:pt idx="21">
                  <c:v>16.6444513137558</c:v>
                </c:pt>
                <c:pt idx="22">
                  <c:v>18.2836126303143</c:v>
                </c:pt>
                <c:pt idx="23">
                  <c:v>26.6883132556558</c:v>
                </c:pt>
                <c:pt idx="24">
                  <c:v>17.3971090328806</c:v>
                </c:pt>
                <c:pt idx="25">
                  <c:v>22.0320058381985</c:v>
                </c:pt>
                <c:pt idx="26">
                  <c:v>18.1091397400573</c:v>
                </c:pt>
                <c:pt idx="27">
                  <c:v>22.2062360997308</c:v>
                </c:pt>
                <c:pt idx="28">
                  <c:v>19.577223599869</c:v>
                </c:pt>
                <c:pt idx="29">
                  <c:v>27.9970620018911</c:v>
                </c:pt>
                <c:pt idx="30">
                  <c:v>22.5073394602548</c:v>
                </c:pt>
                <c:pt idx="31">
                  <c:v>34.3675020356464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"全国城市人均道路面积19.3平方米"</c:f>
              <c:strCache>
                <c:ptCount val="1"/>
                <c:pt idx="0">
                  <c:v>全国城市人均道路面积19.3平方米</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[22年公报图表四五六部分.xlsx]第五部分道路!$C$46:$C$77</c:f>
              <c:numCache>
                <c:formatCode>#,##0.00</c:formatCode>
                <c:ptCount val="32"/>
                <c:pt idx="0">
                  <c:v>19.2842165005522</c:v>
                </c:pt>
                <c:pt idx="1">
                  <c:v>19.2842165005522</c:v>
                </c:pt>
                <c:pt idx="2">
                  <c:v>19.2842165005522</c:v>
                </c:pt>
                <c:pt idx="3">
                  <c:v>19.2842165005522</c:v>
                </c:pt>
                <c:pt idx="4">
                  <c:v>19.2842165005522</c:v>
                </c:pt>
                <c:pt idx="5">
                  <c:v>19.2842165005522</c:v>
                </c:pt>
                <c:pt idx="6">
                  <c:v>19.2842165005522</c:v>
                </c:pt>
                <c:pt idx="7">
                  <c:v>19.2842165005522</c:v>
                </c:pt>
                <c:pt idx="8">
                  <c:v>19.2842165005522</c:v>
                </c:pt>
                <c:pt idx="9">
                  <c:v>19.2842165005522</c:v>
                </c:pt>
                <c:pt idx="10">
                  <c:v>19.2842165005522</c:v>
                </c:pt>
                <c:pt idx="11">
                  <c:v>19.2842165005522</c:v>
                </c:pt>
                <c:pt idx="12">
                  <c:v>19.2842165005522</c:v>
                </c:pt>
                <c:pt idx="13">
                  <c:v>19.2842165005522</c:v>
                </c:pt>
                <c:pt idx="14">
                  <c:v>19.2842165005522</c:v>
                </c:pt>
                <c:pt idx="15">
                  <c:v>19.2842165005522</c:v>
                </c:pt>
                <c:pt idx="16">
                  <c:v>19.2842165005522</c:v>
                </c:pt>
                <c:pt idx="17">
                  <c:v>19.2842165005522</c:v>
                </c:pt>
                <c:pt idx="18">
                  <c:v>19.2842165005522</c:v>
                </c:pt>
                <c:pt idx="19">
                  <c:v>19.2842165005522</c:v>
                </c:pt>
                <c:pt idx="20">
                  <c:v>19.2842165005522</c:v>
                </c:pt>
                <c:pt idx="21">
                  <c:v>19.2842165005522</c:v>
                </c:pt>
                <c:pt idx="22">
                  <c:v>19.2842165005522</c:v>
                </c:pt>
                <c:pt idx="23">
                  <c:v>19.2842165005522</c:v>
                </c:pt>
                <c:pt idx="24">
                  <c:v>19.2842165005522</c:v>
                </c:pt>
                <c:pt idx="25">
                  <c:v>19.2842165005522</c:v>
                </c:pt>
                <c:pt idx="26">
                  <c:v>19.2842165005522</c:v>
                </c:pt>
                <c:pt idx="27">
                  <c:v>19.2842165005522</c:v>
                </c:pt>
                <c:pt idx="28">
                  <c:v>19.2842165005522</c:v>
                </c:pt>
                <c:pt idx="29">
                  <c:v>19.2842165005522</c:v>
                </c:pt>
                <c:pt idx="30">
                  <c:v>19.2842165005522</c:v>
                </c:pt>
                <c:pt idx="31">
                  <c:v>19.2842165005522</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5"/>
          <c:min val="5"/>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平方米</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24774517639"/>
          <c:y val="0.1374609485941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年全国城市污水处理厂处理能力及同比变化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6613409288794"/>
          <c:y val="0.00980071871937275"/>
        </c:manualLayout>
      </c:layout>
      <c:overlay val="0"/>
      <c:spPr>
        <a:noFill/>
        <a:ln>
          <a:noFill/>
        </a:ln>
        <a:effectLst/>
      </c:spPr>
    </c:title>
    <c:autoTitleDeleted val="0"/>
    <c:plotArea>
      <c:layout>
        <c:manualLayout>
          <c:layoutTarget val="inner"/>
          <c:xMode val="edge"/>
          <c:yMode val="edge"/>
          <c:x val="0.0974693251533742"/>
          <c:y val="0.202548186867037"/>
          <c:w val="0.825127811860941"/>
          <c:h val="0.662985952303169"/>
        </c:manualLayout>
      </c:layout>
      <c:barChart>
        <c:barDir val="col"/>
        <c:grouping val="clustered"/>
        <c:varyColors val="0"/>
        <c:ser>
          <c:idx val="1"/>
          <c:order val="0"/>
          <c:tx>
            <c:strRef>
              <c:f>"城市污水处理厂处理能力"</c:f>
              <c:strCache>
                <c:ptCount val="1"/>
                <c:pt idx="0">
                  <c:v>城市污水处理厂处理能力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0915.xlsx]第四部分-污水处理'!$A$8:$A$17</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0915.xlsx]第四部分-污水处理'!$E$8:$E$17</c:f>
              <c:numCache>
                <c:formatCode>0.00_);[Red]\(0.00\)</c:formatCode>
                <c:ptCount val="10"/>
                <c:pt idx="0">
                  <c:v>1.2454</c:v>
                </c:pt>
                <c:pt idx="1">
                  <c:v>1.30868</c:v>
                </c:pt>
                <c:pt idx="2">
                  <c:v>1.40384</c:v>
                </c:pt>
                <c:pt idx="3">
                  <c:v>1.491</c:v>
                </c:pt>
                <c:pt idx="4">
                  <c:v>1.5743</c:v>
                </c:pt>
                <c:pt idx="5">
                  <c:v>1.688054</c:v>
                </c:pt>
                <c:pt idx="6">
                  <c:v>1.786317</c:v>
                </c:pt>
                <c:pt idx="7">
                  <c:v>1.92671</c:v>
                </c:pt>
                <c:pt idx="8">
                  <c:v>2.076722</c:v>
                </c:pt>
                <c:pt idx="9">
                  <c:v>2.16061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0915.xlsx]第四部分-污水处理'!$F$8:$F$17</c:f>
              <c:numCache>
                <c:formatCode>0.00%</c:formatCode>
                <c:ptCount val="10"/>
                <c:pt idx="0">
                  <c:v>0.0614506093923122</c:v>
                </c:pt>
                <c:pt idx="1">
                  <c:v>0.0508109844226754</c:v>
                </c:pt>
                <c:pt idx="2">
                  <c:v>0.0727144909374331</c:v>
                </c:pt>
                <c:pt idx="3">
                  <c:v>0.0620868475039891</c:v>
                </c:pt>
                <c:pt idx="4">
                  <c:v>0.055868544600939</c:v>
                </c:pt>
                <c:pt idx="5">
                  <c:v>0.0722568760719051</c:v>
                </c:pt>
                <c:pt idx="6">
                  <c:v>0.0582108155307826</c:v>
                </c:pt>
                <c:pt idx="7">
                  <c:v>0.0785935531039563</c:v>
                </c:pt>
                <c:pt idx="8">
                  <c:v>0.0778591484966602</c:v>
                </c:pt>
                <c:pt idx="9">
                  <c:v>0.0403944292977103</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亿立方米</a:t>
                </a:r>
                <a:r>
                  <a:rPr lang="en-US" altLang="zh-CN"/>
                  <a:t>/</a:t>
                </a:r>
                <a:r>
                  <a:rPr altLang="en-US"/>
                  <a:t>日</a:t>
                </a:r>
                <a:endParaRPr lang="en-US" altLang="zh-CN"/>
              </a:p>
            </c:rich>
          </c:tx>
          <c:layout/>
          <c:overlay val="0"/>
          <c:spPr>
            <a:noFill/>
            <a:ln>
              <a:noFill/>
            </a:ln>
            <a:effectLst/>
          </c:spPr>
        </c:title>
        <c:numFmt formatCode="0.0_);[Red]\(0.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58305821090851"/>
          <c:y val="0.1190771662268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年全国城市污水处理率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65662081984897"/>
          <c:y val="0.0102006120367222"/>
        </c:manualLayout>
      </c:layout>
      <c:overlay val="0"/>
      <c:spPr>
        <a:noFill/>
        <a:ln>
          <a:noFill/>
        </a:ln>
        <a:effectLst/>
      </c:spPr>
    </c:title>
    <c:autoTitleDeleted val="0"/>
    <c:plotArea>
      <c:layout>
        <c:manualLayout>
          <c:layoutTarget val="inner"/>
          <c:xMode val="edge"/>
          <c:yMode val="edge"/>
          <c:x val="0.076576688642866"/>
          <c:y val="0.229340846853077"/>
          <c:w val="0.914886731391586"/>
          <c:h val="0.621013260795648"/>
        </c:manualLayout>
      </c:layout>
      <c:barChart>
        <c:barDir val="col"/>
        <c:grouping val="clustered"/>
        <c:varyColors val="0"/>
        <c:ser>
          <c:idx val="1"/>
          <c:order val="0"/>
          <c:tx>
            <c:strRef>
              <c:f>"城市污水处理率"</c:f>
              <c:strCache>
                <c:ptCount val="1"/>
                <c:pt idx="0">
                  <c:v>城市污水处理率</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0915.xlsx]第四部分-污水处理'!$A$8:$A$17</c:f>
              <c:numCache>
                <c:formatCode>0_);[Red]\(0\)</c:formatCode>
                <c:ptCount val="10"/>
                <c:pt idx="0" c:formatCode="0_);[Red]\(0\)">
                  <c:v>2013</c:v>
                </c:pt>
                <c:pt idx="1" c:formatCode="0_);[Red]\(0\)">
                  <c:v>2014</c:v>
                </c:pt>
                <c:pt idx="2" c:formatCode="0_);[Red]\(0\)">
                  <c:v>2015</c:v>
                </c:pt>
                <c:pt idx="3" c:formatCode="0_);[Red]\(0\)">
                  <c:v>2016</c:v>
                </c:pt>
                <c:pt idx="4" c:formatCode="0_);[Red]\(0\)">
                  <c:v>2017</c:v>
                </c:pt>
                <c:pt idx="5" c:formatCode="0_);[Red]\(0\)">
                  <c:v>2018</c:v>
                </c:pt>
                <c:pt idx="6" c:formatCode="0_);[Red]\(0\)">
                  <c:v>2019</c:v>
                </c:pt>
                <c:pt idx="7" c:formatCode="0_);[Red]\(0\)">
                  <c:v>2020</c:v>
                </c:pt>
                <c:pt idx="8" c:formatCode="0_);[Red]\(0\)">
                  <c:v>2021</c:v>
                </c:pt>
                <c:pt idx="9" c:formatCode="0_);[Red]\(0\)">
                  <c:v>2022</c:v>
                </c:pt>
              </c:numCache>
            </c:numRef>
          </c:cat>
          <c:val>
            <c:numRef>
              <c:f>'[22年公报图表四五六部分 0915.xlsx]第四部分-污水处理'!$G$8:$G$17</c:f>
              <c:numCache>
                <c:formatCode>0.00%</c:formatCode>
                <c:ptCount val="10"/>
                <c:pt idx="0">
                  <c:v>0.8934</c:v>
                </c:pt>
                <c:pt idx="1">
                  <c:v>0.9018</c:v>
                </c:pt>
                <c:pt idx="2">
                  <c:v>0.919</c:v>
                </c:pt>
                <c:pt idx="3">
                  <c:v>0.9344</c:v>
                </c:pt>
                <c:pt idx="4">
                  <c:v>0.9454</c:v>
                </c:pt>
                <c:pt idx="5">
                  <c:v>0.954881677658859</c:v>
                </c:pt>
                <c:pt idx="6">
                  <c:v>0.968053347045348</c:v>
                </c:pt>
                <c:pt idx="7">
                  <c:v>0.9753482029084</c:v>
                </c:pt>
                <c:pt idx="8">
                  <c:v>0.9789</c:v>
                </c:pt>
                <c:pt idx="9">
                  <c:v>0.9811</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
          <c:min val="0.8"/>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年全国分省（区、市）和新疆兵团城市污水处理厂处理能力</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4571780230569"/>
          <c:y val="0.0432382536844427"/>
        </c:manualLayout>
      </c:layout>
      <c:overlay val="0"/>
      <c:spPr>
        <a:noFill/>
        <a:ln>
          <a:noFill/>
        </a:ln>
        <a:effectLst/>
      </c:spPr>
    </c:title>
    <c:autoTitleDeleted val="0"/>
    <c:plotArea>
      <c:layout>
        <c:manualLayout>
          <c:layoutTarget val="inner"/>
          <c:xMode val="edge"/>
          <c:yMode val="edge"/>
          <c:x val="0.106876090750436"/>
          <c:y val="0.2500822639026"/>
          <c:w val="0.867643979057592"/>
          <c:h val="0.448634419216848"/>
        </c:manualLayout>
      </c:layout>
      <c:barChart>
        <c:barDir val="col"/>
        <c:grouping val="clustered"/>
        <c:varyColors val="0"/>
        <c:ser>
          <c:idx val="0"/>
          <c:order val="0"/>
          <c:tx>
            <c:strRef>
              <c:f>"城市污水处理厂处理能力"</c:f>
              <c:strCache>
                <c:ptCount val="1"/>
                <c:pt idx="0">
                  <c:v>城市污水处理厂处理能力</c:v>
                </c:pt>
              </c:strCache>
            </c:strRef>
          </c:tx>
          <c:spPr>
            <a:solidFill>
              <a:srgbClr val="C00000"/>
            </a:solidFill>
            <a:ln>
              <a:noFill/>
            </a:ln>
            <a:effectLst/>
          </c:spPr>
          <c:invertIfNegative val="0"/>
          <c:dLbls>
            <c:dLbl>
              <c:idx val="0"/>
              <c:layout>
                <c:manualLayout>
                  <c:x val="0.00325770796974985"/>
                  <c:y val="0.003948667324777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930773705642816"/>
                  <c:y val="0.00361961171437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
                  <c:y val="-0.000329055610398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
                  <c:y val="0.0118460019743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0116346713205352"/>
                  <c:y val="0.0197433366238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0"/>
                  <c:y val="0.01085883514313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0.00081442699243746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4"/>
              <c:layout>
                <c:manualLayout>
                  <c:x val="0"/>
                  <c:y val="0.00723922342875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1"/>
              <c:layout>
                <c:manualLayout>
                  <c:x val="0"/>
                  <c:y val="0.003135689851767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_);[Red]\(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'[22年公报图表四五六部分.xlsx]第四部分-污水处理'!$B$28:$B$59</c:f>
              <c:numCache>
                <c:formatCode>0.0_ </c:formatCode>
                <c:ptCount val="32"/>
                <c:pt idx="0">
                  <c:v>712.1</c:v>
                </c:pt>
                <c:pt idx="1">
                  <c:v>344.5</c:v>
                </c:pt>
                <c:pt idx="2">
                  <c:v>715.2</c:v>
                </c:pt>
                <c:pt idx="3">
                  <c:v>367</c:v>
                </c:pt>
                <c:pt idx="4">
                  <c:v>246.15</c:v>
                </c:pt>
                <c:pt idx="5">
                  <c:v>1108.33</c:v>
                </c:pt>
                <c:pt idx="6">
                  <c:v>459.15</c:v>
                </c:pt>
                <c:pt idx="7">
                  <c:v>433.25</c:v>
                </c:pt>
                <c:pt idx="8">
                  <c:v>896.75</c:v>
                </c:pt>
                <c:pt idx="9">
                  <c:v>1684.61</c:v>
                </c:pt>
                <c:pt idx="10">
                  <c:v>1341.38</c:v>
                </c:pt>
                <c:pt idx="11">
                  <c:v>813.55</c:v>
                </c:pt>
                <c:pt idx="12">
                  <c:v>552.2</c:v>
                </c:pt>
                <c:pt idx="13">
                  <c:v>456.8</c:v>
                </c:pt>
                <c:pt idx="14">
                  <c:v>1493.13</c:v>
                </c:pt>
                <c:pt idx="15">
                  <c:v>1043.25</c:v>
                </c:pt>
                <c:pt idx="16">
                  <c:v>962.2</c:v>
                </c:pt>
                <c:pt idx="17">
                  <c:v>860.09</c:v>
                </c:pt>
                <c:pt idx="18">
                  <c:v>2936.01</c:v>
                </c:pt>
                <c:pt idx="19">
                  <c:v>515.1</c:v>
                </c:pt>
                <c:pt idx="20">
                  <c:v>137.67</c:v>
                </c:pt>
                <c:pt idx="21">
                  <c:v>460.97</c:v>
                </c:pt>
                <c:pt idx="22">
                  <c:v>954.95</c:v>
                </c:pt>
                <c:pt idx="23">
                  <c:v>408.12</c:v>
                </c:pt>
                <c:pt idx="24">
                  <c:v>371.1</c:v>
                </c:pt>
                <c:pt idx="25">
                  <c:v>33.2</c:v>
                </c:pt>
                <c:pt idx="26">
                  <c:v>573.1</c:v>
                </c:pt>
                <c:pt idx="27">
                  <c:v>213</c:v>
                </c:pt>
                <c:pt idx="28">
                  <c:v>62.9</c:v>
                </c:pt>
                <c:pt idx="29">
                  <c:v>139.75</c:v>
                </c:pt>
                <c:pt idx="30">
                  <c:v>258.8</c:v>
                </c:pt>
                <c:pt idx="31">
                  <c:v>51.79</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000"/>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万立方米</a:t>
                </a: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日</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0349040139616056"/>
              <c:y val="0.282596108029426"/>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6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年全国分省（区、市）和新疆兵团城市生活污水集中收集率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969807180062224"/>
          <c:y val="0.00968992248062015"/>
        </c:manualLayout>
      </c:layout>
      <c:overlay val="0"/>
      <c:spPr>
        <a:noFill/>
        <a:ln>
          <a:noFill/>
        </a:ln>
        <a:effectLst/>
      </c:spPr>
    </c:title>
    <c:autoTitleDeleted val="0"/>
    <c:plotArea>
      <c:layout>
        <c:manualLayout>
          <c:layoutTarget val="inner"/>
          <c:xMode val="edge"/>
          <c:yMode val="edge"/>
          <c:x val="0.0663719676549865"/>
          <c:y val="0.331684608670352"/>
          <c:w val="0.919504043126685"/>
          <c:h val="0.396974105324411"/>
        </c:manualLayout>
      </c:layout>
      <c:barChart>
        <c:barDir val="col"/>
        <c:grouping val="clustered"/>
        <c:varyColors val="0"/>
        <c:ser>
          <c:idx val="0"/>
          <c:order val="0"/>
          <c:tx>
            <c:strRef>
              <c:f>"城市生活污水集中收集率"</c:f>
              <c:strCache>
                <c:ptCount val="1"/>
                <c:pt idx="0">
                  <c:v>城市生活污水集中收集率</c:v>
                </c:pt>
              </c:strCache>
            </c:strRef>
          </c:tx>
          <c:spPr>
            <a:solidFill>
              <a:srgbClr val="C00000"/>
            </a:solidFill>
            <a:ln>
              <a:noFill/>
            </a:ln>
            <a:effectLst/>
          </c:spPr>
          <c:invertIfNegative val="0"/>
          <c:dLbls>
            <c:dLbl>
              <c:idx val="10"/>
              <c:layout>
                <c:manualLayout>
                  <c:x val="0.00485062286407232"/>
                  <c:y val="0.00753424657534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49608642928012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242531143203616"/>
                  <c:y val="0.003767123287671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0.00617352000881931"/>
                  <c:y val="0.00753424657534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9"/>
              <c:layout>
                <c:manualLayout>
                  <c:x val="-0.00485062286407232"/>
                  <c:y val="0.00410958904109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'[22年公报图表四五六部分.xlsx]第四部分-污水处理'!$C$28:$C$59</c:f>
              <c:numCache>
                <c:formatCode>#,##0.00</c:formatCode>
                <c:ptCount val="32"/>
                <c:pt idx="0">
                  <c:v>88.68</c:v>
                </c:pt>
                <c:pt idx="1">
                  <c:v>82.44</c:v>
                </c:pt>
                <c:pt idx="2">
                  <c:v>81.72</c:v>
                </c:pt>
                <c:pt idx="3">
                  <c:v>71.07</c:v>
                </c:pt>
                <c:pt idx="4">
                  <c:v>76.45</c:v>
                </c:pt>
                <c:pt idx="5">
                  <c:v>63.18</c:v>
                </c:pt>
                <c:pt idx="6">
                  <c:v>72.98</c:v>
                </c:pt>
                <c:pt idx="7">
                  <c:v>67.8</c:v>
                </c:pt>
                <c:pt idx="8">
                  <c:v>90.84</c:v>
                </c:pt>
                <c:pt idx="9">
                  <c:v>75.37</c:v>
                </c:pt>
                <c:pt idx="10">
                  <c:v>74.44</c:v>
                </c:pt>
                <c:pt idx="11">
                  <c:v>61.85</c:v>
                </c:pt>
                <c:pt idx="12">
                  <c:v>60.87</c:v>
                </c:pt>
                <c:pt idx="13">
                  <c:v>49.93</c:v>
                </c:pt>
                <c:pt idx="14">
                  <c:v>72.27</c:v>
                </c:pt>
                <c:pt idx="15">
                  <c:v>77.12</c:v>
                </c:pt>
                <c:pt idx="16">
                  <c:v>55.62</c:v>
                </c:pt>
                <c:pt idx="17">
                  <c:v>59.22</c:v>
                </c:pt>
                <c:pt idx="18">
                  <c:v>72.41</c:v>
                </c:pt>
                <c:pt idx="19">
                  <c:v>54.54</c:v>
                </c:pt>
                <c:pt idx="20">
                  <c:v>55.94</c:v>
                </c:pt>
                <c:pt idx="21">
                  <c:v>63.25</c:v>
                </c:pt>
                <c:pt idx="22">
                  <c:v>53.35</c:v>
                </c:pt>
                <c:pt idx="23">
                  <c:v>54.62</c:v>
                </c:pt>
                <c:pt idx="24">
                  <c:v>65.26</c:v>
                </c:pt>
                <c:pt idx="25">
                  <c:v>27.18</c:v>
                </c:pt>
                <c:pt idx="26">
                  <c:v>80.98</c:v>
                </c:pt>
                <c:pt idx="27">
                  <c:v>74.52</c:v>
                </c:pt>
                <c:pt idx="28">
                  <c:v>64.16</c:v>
                </c:pt>
                <c:pt idx="29">
                  <c:v>76.49</c:v>
                </c:pt>
                <c:pt idx="30">
                  <c:v>82.02</c:v>
                </c:pt>
                <c:pt idx="31">
                  <c:v>64.59</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"全国城市生活污水集中收集率70.1%"</c:f>
              <c:strCache>
                <c:ptCount val="1"/>
                <c:pt idx="0">
                  <c:v>全国城市生活污水集中收集率70.1%</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'[22年公报图表四五六部分.xlsx]第四部分-污水处理'!$D$27:$D$59</c:f>
              <c:numCache>
                <c:formatCode>#,##0.00</c:formatCode>
                <c:ptCount val="33"/>
                <c:pt idx="0">
                  <c:v>70.06</c:v>
                </c:pt>
                <c:pt idx="1">
                  <c:v>70.06</c:v>
                </c:pt>
                <c:pt idx="2">
                  <c:v>70.06</c:v>
                </c:pt>
                <c:pt idx="3">
                  <c:v>70.06</c:v>
                </c:pt>
                <c:pt idx="4">
                  <c:v>70.06</c:v>
                </c:pt>
                <c:pt idx="5">
                  <c:v>70.06</c:v>
                </c:pt>
                <c:pt idx="6">
                  <c:v>70.06</c:v>
                </c:pt>
                <c:pt idx="7">
                  <c:v>70.06</c:v>
                </c:pt>
                <c:pt idx="8">
                  <c:v>70.06</c:v>
                </c:pt>
                <c:pt idx="9">
                  <c:v>70.06</c:v>
                </c:pt>
                <c:pt idx="10">
                  <c:v>70.06</c:v>
                </c:pt>
                <c:pt idx="11">
                  <c:v>70.06</c:v>
                </c:pt>
                <c:pt idx="12">
                  <c:v>70.06</c:v>
                </c:pt>
                <c:pt idx="13">
                  <c:v>70.06</c:v>
                </c:pt>
                <c:pt idx="14">
                  <c:v>70.06</c:v>
                </c:pt>
                <c:pt idx="15">
                  <c:v>70.06</c:v>
                </c:pt>
                <c:pt idx="16">
                  <c:v>70.06</c:v>
                </c:pt>
                <c:pt idx="17">
                  <c:v>70.06</c:v>
                </c:pt>
                <c:pt idx="18">
                  <c:v>70.06</c:v>
                </c:pt>
                <c:pt idx="19">
                  <c:v>70.06</c:v>
                </c:pt>
                <c:pt idx="20">
                  <c:v>70.06</c:v>
                </c:pt>
                <c:pt idx="21">
                  <c:v>70.06</c:v>
                </c:pt>
                <c:pt idx="22">
                  <c:v>70.06</c:v>
                </c:pt>
                <c:pt idx="23">
                  <c:v>70.06</c:v>
                </c:pt>
                <c:pt idx="24">
                  <c:v>70.06</c:v>
                </c:pt>
                <c:pt idx="25">
                  <c:v>70.06</c:v>
                </c:pt>
                <c:pt idx="26">
                  <c:v>70.06</c:v>
                </c:pt>
                <c:pt idx="27">
                  <c:v>70.06</c:v>
                </c:pt>
                <c:pt idx="28">
                  <c:v>70.06</c:v>
                </c:pt>
                <c:pt idx="29">
                  <c:v>70.06</c:v>
                </c:pt>
                <c:pt idx="30">
                  <c:v>70.06</c:v>
                </c:pt>
                <c:pt idx="31">
                  <c:v>70.06</c:v>
                </c:pt>
                <c:pt idx="32">
                  <c:v>70.06</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2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a:t>
                </a:r>
                <a:endParaRPr lang="en-US" altLang="zh-CN"/>
              </a:p>
            </c:rich>
          </c:tx>
          <c:layout>
            <c:manualLayout>
              <c:xMode val="edge"/>
              <c:yMode val="edge"/>
              <c:x val="0.00330724286186749"/>
              <c:y val="0.416033495283"/>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3842863364881"/>
          <c:y val="0.1340091916709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年全国分省（区、市）和新疆兵团城市城区人口</a:t>
            </a:r>
            <a:endParaRPr lang="en-US" altLang="zh-CN" sz="1200">
              <a:solidFill>
                <a:sysClr val="windowText" lastClr="000000"/>
              </a:solidFill>
            </a:endParaRPr>
          </a:p>
        </c:rich>
      </c:tx>
      <c:layout>
        <c:manualLayout>
          <c:xMode val="edge"/>
          <c:yMode val="edge"/>
          <c:x val="0.182212592621605"/>
          <c:y val="0.00888362451880367"/>
        </c:manualLayout>
      </c:layout>
      <c:overlay val="0"/>
      <c:spPr>
        <a:noFill/>
        <a:ln>
          <a:noFill/>
        </a:ln>
        <a:effectLst/>
      </c:spPr>
    </c:title>
    <c:autoTitleDeleted val="0"/>
    <c:plotArea>
      <c:layout>
        <c:manualLayout>
          <c:layoutTarget val="inner"/>
          <c:xMode val="edge"/>
          <c:yMode val="edge"/>
          <c:x val="0.12490661525485"/>
          <c:y val="0.201539538138558"/>
          <c:w val="0.870153030485601"/>
          <c:h val="0.478096571028691"/>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'[22公报数据-前三部分.xlsx]城区人口'!$A$32:$A$63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'[22公报数据-前三部分.xlsx]城区人口'!$D$32:$D$63</c:f>
              <c:numCache>
                <c:formatCode>0_ </c:formatCode>
                <c:ptCount val="32"/>
                <c:pt idx="0">
                  <c:v>1912.8</c:v>
                </c:pt>
                <c:pt idx="1">
                  <c:v>1160.07</c:v>
                </c:pt>
                <c:pt idx="2">
                  <c:v>2004.43</c:v>
                </c:pt>
                <c:pt idx="3">
                  <c:v>1280.07</c:v>
                </c:pt>
                <c:pt idx="4">
                  <c:v>935.76</c:v>
                </c:pt>
                <c:pt idx="5">
                  <c:v>2342.24</c:v>
                </c:pt>
                <c:pt idx="6">
                  <c:v>1199.63</c:v>
                </c:pt>
                <c:pt idx="7">
                  <c:v>1376.68</c:v>
                </c:pt>
                <c:pt idx="8">
                  <c:v>2475.89</c:v>
                </c:pt>
                <c:pt idx="9">
                  <c:v>3706.26</c:v>
                </c:pt>
                <c:pt idx="10">
                  <c:v>3254.23</c:v>
                </c:pt>
                <c:pt idx="11">
                  <c:v>1955.41</c:v>
                </c:pt>
                <c:pt idx="12">
                  <c:v>1510.57</c:v>
                </c:pt>
                <c:pt idx="13">
                  <c:v>1217.31</c:v>
                </c:pt>
                <c:pt idx="14">
                  <c:v>4156.71</c:v>
                </c:pt>
                <c:pt idx="15">
                  <c:v>2859.78</c:v>
                </c:pt>
                <c:pt idx="16">
                  <c:v>2433.98</c:v>
                </c:pt>
                <c:pt idx="17">
                  <c:v>1938.96</c:v>
                </c:pt>
                <c:pt idx="18">
                  <c:v>6603.86</c:v>
                </c:pt>
                <c:pt idx="19">
                  <c:v>1334.07</c:v>
                </c:pt>
                <c:pt idx="20">
                  <c:v>333.23</c:v>
                </c:pt>
                <c:pt idx="21">
                  <c:v>1617.5</c:v>
                </c:pt>
                <c:pt idx="22">
                  <c:v>3196.12</c:v>
                </c:pt>
                <c:pt idx="23">
                  <c:v>911.46</c:v>
                </c:pt>
                <c:pt idx="24">
                  <c:v>1077.84</c:v>
                </c:pt>
                <c:pt idx="25">
                  <c:v>95.92</c:v>
                </c:pt>
                <c:pt idx="26">
                  <c:v>1437.24</c:v>
                </c:pt>
                <c:pt idx="27">
                  <c:v>683.44</c:v>
                </c:pt>
                <c:pt idx="28">
                  <c:v>213.73</c:v>
                </c:pt>
                <c:pt idx="29">
                  <c:v>296.12</c:v>
                </c:pt>
                <c:pt idx="30">
                  <c:v>856.33</c:v>
                </c:pt>
                <c:pt idx="31">
                  <c:v>110.53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万人</a:t>
                </a:r>
              </a:p>
            </c:rich>
          </c:tx>
          <c:layout>
            <c:manualLayout>
              <c:xMode val="edge"/>
              <c:yMode val="edge"/>
              <c:x val="0.0143390769972286"/>
              <c:y val="0.312526242127362"/>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年全国城市生活垃圾无害化处理率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7361111111111"/>
          <c:y val="0.0102006120367222"/>
        </c:manualLayout>
      </c:layout>
      <c:overlay val="0"/>
      <c:spPr>
        <a:noFill/>
        <a:ln>
          <a:noFill/>
        </a:ln>
        <a:effectLst/>
      </c:spPr>
    </c:title>
    <c:autoTitleDeleted val="0"/>
    <c:plotArea>
      <c:layout>
        <c:manualLayout>
          <c:layoutTarget val="inner"/>
          <c:xMode val="edge"/>
          <c:yMode val="edge"/>
          <c:x val="0.0870721357850071"/>
          <c:y val="0.230962643678161"/>
          <c:w val="0.883507779349363"/>
          <c:h val="0.585991379310345"/>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0915.xlsx]第四部分生活垃圾'!$A$5:$A$14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0915.xlsx]第四部分生活垃圾'!$E$5:$E$14</c:f>
              <c:numCache>
                <c:formatCode>0.00%</c:formatCode>
                <c:ptCount val="10"/>
                <c:pt idx="0">
                  <c:v>0.89297523058182</c:v>
                </c:pt>
                <c:pt idx="1">
                  <c:v>0.917917133258679</c:v>
                </c:pt>
                <c:pt idx="2">
                  <c:v>0.941019747152858</c:v>
                </c:pt>
                <c:pt idx="3">
                  <c:v>0.966211570572635</c:v>
                </c:pt>
                <c:pt idx="4">
                  <c:v>0.977370940012081</c:v>
                </c:pt>
                <c:pt idx="5">
                  <c:v>0.989606174896939</c:v>
                </c:pt>
                <c:pt idx="6">
                  <c:v>0.992026770222259</c:v>
                </c:pt>
                <c:pt idx="7">
                  <c:v>0.997448111602586</c:v>
                </c:pt>
                <c:pt idx="8">
                  <c:v>0.998793678877317</c:v>
                </c:pt>
                <c:pt idx="9">
                  <c:v>0.998960552628209</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
          <c:min val="0.8"/>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年全国城市生活垃圾无害化处理能力及同比变化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2645392718069"/>
          <c:y val="0.0346492179059824"/>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"城市生活垃圾无害化处理能力"</c:f>
              <c:strCache>
                <c:ptCount val="1"/>
                <c:pt idx="0">
                  <c:v>城市生活垃圾无害化处理能力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0915.xlsx]第四部分生活垃圾'!$A$5:$A$14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0915.xlsx]第四部分生活垃圾'!$G$5:$G$14</c:f>
              <c:numCache>
                <c:formatCode>0.00_ </c:formatCode>
                <c:ptCount val="10"/>
                <c:pt idx="0">
                  <c:v>49.23</c:v>
                </c:pt>
                <c:pt idx="1">
                  <c:v>53.3455</c:v>
                </c:pt>
                <c:pt idx="2">
                  <c:v>57.6894</c:v>
                </c:pt>
                <c:pt idx="3">
                  <c:v>62.1351</c:v>
                </c:pt>
                <c:pt idx="4">
                  <c:v>67.9889</c:v>
                </c:pt>
                <c:pt idx="5">
                  <c:v>76.619498</c:v>
                </c:pt>
                <c:pt idx="6">
                  <c:v>86.987525</c:v>
                </c:pt>
                <c:pt idx="7">
                  <c:v>96.346015</c:v>
                </c:pt>
                <c:pt idx="8">
                  <c:v>105.706384</c:v>
                </c:pt>
                <c:pt idx="9">
                  <c:v>110.943478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'[22年公报图表四五六部分 0915.xlsx]第四部分生活垃圾'!$H$5:$H$14</c:f>
              <c:numCache>
                <c:formatCode>0.00%</c:formatCode>
                <c:ptCount val="10"/>
                <c:pt idx="0">
                  <c:v>0.103148780553389</c:v>
                </c:pt>
                <c:pt idx="1">
                  <c:v>0.0835973999593744</c:v>
                </c:pt>
                <c:pt idx="2">
                  <c:v>0.0814295488841608</c:v>
                </c:pt>
                <c:pt idx="3">
                  <c:v>0.0770626839592716</c:v>
                </c:pt>
                <c:pt idx="4">
                  <c:v>0.0942108405715931</c:v>
                </c:pt>
                <c:pt idx="5">
                  <c:v>0.126941280120725</c:v>
                </c:pt>
                <c:pt idx="6">
                  <c:v>0.135318388538646</c:v>
                </c:pt>
                <c:pt idx="7">
                  <c:v>0.107584277170778</c:v>
                </c:pt>
                <c:pt idx="8">
                  <c:v>0.0971536705488028</c:v>
                </c:pt>
                <c:pt idx="9">
                  <c:v>0.049543781575198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万吨</a:t>
                </a:r>
                <a:r>
                  <a:rPr lang="en-US" altLang="zh-CN"/>
                  <a:t>/</a:t>
                </a:r>
                <a:r>
                  <a:rPr altLang="en-US"/>
                  <a:t>日</a:t>
                </a:r>
                <a:endParaRPr lang="en-US" altLang="zh-CN"/>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56899890620503"/>
          <c:y val="0.148152631760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年全国分省（区、市）和新疆兵团城市生活垃圾无害化处理能力</a:t>
            </a:r>
            <a:endPar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6591205384138"/>
          <c:y val="0.0121654501216545"/>
        </c:manualLayout>
      </c:layout>
      <c:overlay val="0"/>
      <c:spPr>
        <a:noFill/>
        <a:ln>
          <a:noFill/>
        </a:ln>
        <a:effectLst/>
      </c:spPr>
    </c:title>
    <c:autoTitleDeleted val="0"/>
    <c:plotArea>
      <c:layout>
        <c:manualLayout>
          <c:layoutTarget val="inner"/>
          <c:xMode val="edge"/>
          <c:yMode val="edge"/>
          <c:x val="0.0874402730375427"/>
          <c:y val="0.155809523809524"/>
          <c:w val="0.90004550625711"/>
          <c:h val="0.491580952380952"/>
        </c:manualLayout>
      </c:layout>
      <c:barChart>
        <c:barDir val="col"/>
        <c:grouping val="clustered"/>
        <c:varyColors val="0"/>
        <c:ser>
          <c:idx val="0"/>
          <c:order val="0"/>
          <c:tx>
            <c:strRef>
              <c:f>"城市生活垃圾无害化处理能力"</c:f>
              <c:strCache>
                <c:ptCount val="1"/>
                <c:pt idx="0">
                  <c:v>城市生活垃圾无害化处理能力</c:v>
                </c:pt>
              </c:strCache>
            </c:strRef>
          </c:tx>
          <c:spPr>
            <a:solidFill>
              <a:srgbClr val="C00000"/>
            </a:solidFill>
            <a:ln>
              <a:noFill/>
            </a:ln>
            <a:effectLst/>
          </c:spPr>
          <c:invertIfNegative val="0"/>
          <c:dLbls>
            <c:dLbl>
              <c:idx val="18"/>
              <c:layout>
                <c:manualLayout>
                  <c:x val="0.00117508813160987"/>
                  <c:y val="0.02738654147104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[22年公报图表四五六部分.xlsx]第四部分生活垃圾!$G$31:$G$62</c:f>
              <c:numCache>
                <c:formatCode>0.0_ </c:formatCode>
                <c:ptCount val="32"/>
                <c:pt idx="0">
                  <c:v>3.1461</c:v>
                </c:pt>
                <c:pt idx="1">
                  <c:v>1.955</c:v>
                </c:pt>
                <c:pt idx="2">
                  <c:v>3.7631</c:v>
                </c:pt>
                <c:pt idx="3">
                  <c:v>1.98698</c:v>
                </c:pt>
                <c:pt idx="4">
                  <c:v>1.472803</c:v>
                </c:pt>
                <c:pt idx="5">
                  <c:v>3.8324</c:v>
                </c:pt>
                <c:pt idx="6">
                  <c:v>2.221</c:v>
                </c:pt>
                <c:pt idx="7">
                  <c:v>2.2447</c:v>
                </c:pt>
                <c:pt idx="8">
                  <c:v>3.7012</c:v>
                </c:pt>
                <c:pt idx="9">
                  <c:v>7.8539</c:v>
                </c:pt>
                <c:pt idx="10">
                  <c:v>8.2166</c:v>
                </c:pt>
                <c:pt idx="11">
                  <c:v>3.677865</c:v>
                </c:pt>
                <c:pt idx="12">
                  <c:v>3.1223</c:v>
                </c:pt>
                <c:pt idx="13">
                  <c:v>2.32892</c:v>
                </c:pt>
                <c:pt idx="14">
                  <c:v>7.5849</c:v>
                </c:pt>
                <c:pt idx="15">
                  <c:v>4.6735</c:v>
                </c:pt>
                <c:pt idx="16">
                  <c:v>4.12229</c:v>
                </c:pt>
                <c:pt idx="17">
                  <c:v>3.8153</c:v>
                </c:pt>
                <c:pt idx="18">
                  <c:v>17.869727</c:v>
                </c:pt>
                <c:pt idx="19">
                  <c:v>3.0459</c:v>
                </c:pt>
                <c:pt idx="20">
                  <c:v>1.5</c:v>
                </c:pt>
                <c:pt idx="21">
                  <c:v>2.895616</c:v>
                </c:pt>
                <c:pt idx="22">
                  <c:v>4.557994</c:v>
                </c:pt>
                <c:pt idx="23">
                  <c:v>2.4517</c:v>
                </c:pt>
                <c:pt idx="24">
                  <c:v>1.697036</c:v>
                </c:pt>
                <c:pt idx="25">
                  <c:v>0.233</c:v>
                </c:pt>
                <c:pt idx="26">
                  <c:v>3.204627</c:v>
                </c:pt>
                <c:pt idx="27">
                  <c:v>1.2342</c:v>
                </c:pt>
                <c:pt idx="28">
                  <c:v>0.2152</c:v>
                </c:pt>
                <c:pt idx="29">
                  <c:v>0.727</c:v>
                </c:pt>
                <c:pt idx="30">
                  <c:v>1.39396</c:v>
                </c:pt>
                <c:pt idx="31">
                  <c:v>0.19866</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20"/>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万吨</a:t>
                </a: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日</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年全国分省（区、市）和新疆兵团城市生活垃圾焚烧处理能力占比</a:t>
            </a:r>
            <a:endPar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1534294352923"/>
          <c:y val="0.00968992248062015"/>
        </c:manualLayout>
      </c:layout>
      <c:overlay val="0"/>
      <c:spPr>
        <a:noFill/>
        <a:ln>
          <a:noFill/>
        </a:ln>
        <a:effectLst/>
      </c:spPr>
    </c:title>
    <c:autoTitleDeleted val="0"/>
    <c:plotArea>
      <c:layout>
        <c:manualLayout>
          <c:layoutTarget val="inner"/>
          <c:xMode val="edge"/>
          <c:yMode val="edge"/>
          <c:x val="0.0809401804611786"/>
          <c:y val="0.31750645994832"/>
          <c:w val="0.904912554305447"/>
          <c:h val="0.386757105943152"/>
        </c:manualLayout>
      </c:layout>
      <c:barChart>
        <c:barDir val="col"/>
        <c:grouping val="clustered"/>
        <c:varyColors val="0"/>
        <c:ser>
          <c:idx val="0"/>
          <c:order val="0"/>
          <c:tx>
            <c:strRef>
              <c:f>"焚烧处理能力占比"</c:f>
              <c:strCache>
                <c:ptCount val="1"/>
                <c:pt idx="0">
                  <c:v>焚烧处理能力占比</c:v>
                </c:pt>
              </c:strCache>
            </c:strRef>
          </c:tx>
          <c:spPr>
            <a:solidFill>
              <a:srgbClr val="C00000"/>
            </a:solidFill>
            <a:ln>
              <a:noFill/>
            </a:ln>
            <a:effectLst/>
          </c:spPr>
          <c:invertIfNegative val="0"/>
          <c:dLbls>
            <c:dLbl>
              <c:idx val="0"/>
              <c:layout>
                <c:manualLayout>
                  <c:x val="0.00113211819313936"/>
                  <c:y val="0.00976244712007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13211819313936"/>
                  <c:y val="0.00325414904002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7428940568475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1485788113695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[22年公报图表四五六部分.xlsx]第四部分生活垃圾!$H$31:$H$62</c:f>
              <c:numCache>
                <c:formatCode>0.0_);[Red]\(0.0\)</c:formatCode>
                <c:ptCount val="32"/>
                <c:pt idx="0">
                  <c:v>54.5119354120975</c:v>
                </c:pt>
                <c:pt idx="1">
                  <c:v>93.0946291560102</c:v>
                </c:pt>
                <c:pt idx="2">
                  <c:v>84.6376657542983</c:v>
                </c:pt>
                <c:pt idx="3">
                  <c:v>70.9619623750616</c:v>
                </c:pt>
                <c:pt idx="4">
                  <c:v>48.2073977307216</c:v>
                </c:pt>
                <c:pt idx="5">
                  <c:v>60.8756914727064</c:v>
                </c:pt>
                <c:pt idx="6">
                  <c:v>55.155335434489</c:v>
                </c:pt>
                <c:pt idx="7">
                  <c:v>56.8004633135831</c:v>
                </c:pt>
                <c:pt idx="8">
                  <c:v>62.1420079974062</c:v>
                </c:pt>
                <c:pt idx="9">
                  <c:v>81.5238289257566</c:v>
                </c:pt>
                <c:pt idx="10">
                  <c:v>88.4794197113161</c:v>
                </c:pt>
                <c:pt idx="11">
                  <c:v>73.8471912373075</c:v>
                </c:pt>
                <c:pt idx="12">
                  <c:v>83.8420395221471</c:v>
                </c:pt>
                <c:pt idx="13">
                  <c:v>89.5264757913539</c:v>
                </c:pt>
                <c:pt idx="14">
                  <c:v>78.6562776041873</c:v>
                </c:pt>
                <c:pt idx="15">
                  <c:v>84.3265218786777</c:v>
                </c:pt>
                <c:pt idx="16">
                  <c:v>73.6173340546153</c:v>
                </c:pt>
                <c:pt idx="17">
                  <c:v>56.6954105837025</c:v>
                </c:pt>
                <c:pt idx="18">
                  <c:v>71.5931474498743</c:v>
                </c:pt>
                <c:pt idx="19">
                  <c:v>65.4978823992909</c:v>
                </c:pt>
                <c:pt idx="20">
                  <c:v>89.3333333333333</c:v>
                </c:pt>
                <c:pt idx="21">
                  <c:v>67.0735346123243</c:v>
                </c:pt>
                <c:pt idx="22">
                  <c:v>79.227835754062</c:v>
                </c:pt>
                <c:pt idx="23">
                  <c:v>68.3199412652445</c:v>
                </c:pt>
                <c:pt idx="24">
                  <c:v>74.8776101390896</c:v>
                </c:pt>
                <c:pt idx="25">
                  <c:v>30.0429184549356</c:v>
                </c:pt>
                <c:pt idx="26">
                  <c:v>49.771783112356</c:v>
                </c:pt>
                <c:pt idx="27">
                  <c:v>61.9834710743802</c:v>
                </c:pt>
                <c:pt idx="28">
                  <c:v>0</c:v>
                </c:pt>
                <c:pt idx="29">
                  <c:v>68.7757909215956</c:v>
                </c:pt>
                <c:pt idx="30">
                  <c:v>49.4992682716864</c:v>
                </c:pt>
                <c:pt idx="31">
                  <c:v>25.1686298197926</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"全国焚烧处理能力占比72.5%"</c:f>
              <c:strCache>
                <c:ptCount val="1"/>
                <c:pt idx="0">
                  <c:v>全国焚烧处理能力占比72.5%</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[22年公报图表四五六部分.xlsx]第四部分生活垃圾!$I$30:$I$62</c:f>
              <c:numCache>
                <c:formatCode>General</c:formatCode>
                <c:ptCount val="33"/>
                <c:pt idx="1" c:formatCode="0.0_);[Red]\(0.0\)">
                  <c:v>72.5</c:v>
                </c:pt>
                <c:pt idx="2" c:formatCode="0.0_);[Red]\(0.0\)">
                  <c:v>72.5</c:v>
                </c:pt>
                <c:pt idx="3" c:formatCode="0.0_);[Red]\(0.0\)">
                  <c:v>72.5</c:v>
                </c:pt>
                <c:pt idx="4" c:formatCode="0.0_);[Red]\(0.0\)">
                  <c:v>72.5</c:v>
                </c:pt>
                <c:pt idx="5" c:formatCode="0.0_);[Red]\(0.0\)">
                  <c:v>72.5</c:v>
                </c:pt>
                <c:pt idx="6" c:formatCode="0.0_);[Red]\(0.0\)">
                  <c:v>72.5</c:v>
                </c:pt>
                <c:pt idx="7" c:formatCode="0.0_);[Red]\(0.0\)">
                  <c:v>72.5</c:v>
                </c:pt>
                <c:pt idx="8" c:formatCode="0.0_);[Red]\(0.0\)">
                  <c:v>72.5</c:v>
                </c:pt>
                <c:pt idx="9" c:formatCode="0.0_);[Red]\(0.0\)">
                  <c:v>72.5</c:v>
                </c:pt>
                <c:pt idx="10" c:formatCode="0.0_);[Red]\(0.0\)">
                  <c:v>72.5</c:v>
                </c:pt>
                <c:pt idx="11" c:formatCode="0.0_);[Red]\(0.0\)">
                  <c:v>72.5</c:v>
                </c:pt>
                <c:pt idx="12" c:formatCode="0.0_);[Red]\(0.0\)">
                  <c:v>72.5</c:v>
                </c:pt>
                <c:pt idx="13" c:formatCode="0.0_);[Red]\(0.0\)">
                  <c:v>72.5</c:v>
                </c:pt>
                <c:pt idx="14" c:formatCode="0.0_);[Red]\(0.0\)">
                  <c:v>72.5</c:v>
                </c:pt>
                <c:pt idx="15" c:formatCode="0.0_);[Red]\(0.0\)">
                  <c:v>72.5</c:v>
                </c:pt>
                <c:pt idx="16" c:formatCode="0.0_);[Red]\(0.0\)">
                  <c:v>72.5</c:v>
                </c:pt>
                <c:pt idx="17" c:formatCode="0.0_);[Red]\(0.0\)">
                  <c:v>72.5</c:v>
                </c:pt>
                <c:pt idx="18" c:formatCode="0.0_);[Red]\(0.0\)">
                  <c:v>72.5</c:v>
                </c:pt>
                <c:pt idx="19" c:formatCode="0.0_);[Red]\(0.0\)">
                  <c:v>72.5</c:v>
                </c:pt>
                <c:pt idx="20" c:formatCode="0.0_);[Red]\(0.0\)">
                  <c:v>72.5</c:v>
                </c:pt>
                <c:pt idx="21" c:formatCode="0.0_);[Red]\(0.0\)">
                  <c:v>72.5</c:v>
                </c:pt>
                <c:pt idx="22" c:formatCode="0.0_);[Red]\(0.0\)">
                  <c:v>72.5</c:v>
                </c:pt>
                <c:pt idx="23" c:formatCode="0.0_);[Red]\(0.0\)">
                  <c:v>72.5</c:v>
                </c:pt>
                <c:pt idx="24" c:formatCode="0.0_);[Red]\(0.0\)">
                  <c:v>72.5</c:v>
                </c:pt>
                <c:pt idx="25" c:formatCode="0.0_);[Red]\(0.0\)">
                  <c:v>72.5</c:v>
                </c:pt>
                <c:pt idx="26" c:formatCode="0.0_);[Red]\(0.0\)">
                  <c:v>72.5</c:v>
                </c:pt>
                <c:pt idx="27" c:formatCode="0.0_);[Red]\(0.0\)">
                  <c:v>72.5</c:v>
                </c:pt>
                <c:pt idx="28" c:formatCode="0.0_);[Red]\(0.0\)">
                  <c:v>72.5</c:v>
                </c:pt>
                <c:pt idx="29" c:formatCode="0.0_);[Red]\(0.0\)">
                  <c:v>72.5</c:v>
                </c:pt>
                <c:pt idx="30" c:formatCode="0.0_);[Red]\(0.0\)">
                  <c:v>72.5</c:v>
                </c:pt>
                <c:pt idx="31" c:formatCode="0.0_);[Red]\(0.0\)">
                  <c:v>72.5</c:v>
                </c:pt>
                <c:pt idx="32" c:formatCode="0.0_);[Red]\(0.0\)">
                  <c:v>72.5</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a:t>
                </a:r>
                <a:endParaRPr lang="en-US" altLang="zh-CN"/>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270802378993"/>
          <c:y val="0.1340091916709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年全国城市建成区绿地面积及同比变化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5407425527288"/>
          <c:y val="0.0187222171822553"/>
        </c:manualLayout>
      </c:layout>
      <c:overlay val="0"/>
      <c:spPr>
        <a:noFill/>
        <a:ln>
          <a:noFill/>
        </a:ln>
        <a:effectLst/>
      </c:spPr>
    </c:title>
    <c:autoTitleDeleted val="0"/>
    <c:plotArea>
      <c:layout>
        <c:manualLayout>
          <c:layoutTarget val="inner"/>
          <c:xMode val="edge"/>
          <c:yMode val="edge"/>
          <c:x val="0.0962296151337247"/>
          <c:y val="0.223359422034919"/>
          <c:w val="0.836503587736464"/>
          <c:h val="0.652739313666466"/>
        </c:manualLayout>
      </c:layout>
      <c:barChart>
        <c:barDir val="col"/>
        <c:grouping val="clustered"/>
        <c:varyColors val="0"/>
        <c:ser>
          <c:idx val="1"/>
          <c:order val="0"/>
          <c:tx>
            <c:strRef>
              <c:f>"城市建成区绿地面积"</c:f>
              <c:strCache>
                <c:ptCount val="1"/>
                <c:pt idx="0">
                  <c:v>城市建成区绿地面积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0915.xlsx]第六部分-建成区绿地面积'!$A$5:$A$14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0915.xlsx]第六部分-建成区绿地面积'!$C$5:$C$14</c:f>
              <c:numCache>
                <c:formatCode>0.00_ </c:formatCode>
                <c:ptCount val="10"/>
                <c:pt idx="0">
                  <c:v>171.9361</c:v>
                </c:pt>
                <c:pt idx="1">
                  <c:v>181.996015</c:v>
                </c:pt>
                <c:pt idx="2">
                  <c:v>190.786221</c:v>
                </c:pt>
                <c:pt idx="3">
                  <c:v>199.258398</c:v>
                </c:pt>
                <c:pt idx="4">
                  <c:v>209.912002</c:v>
                </c:pt>
                <c:pt idx="5">
                  <c:v>219.712159</c:v>
                </c:pt>
                <c:pt idx="6">
                  <c:v>228.520669</c:v>
                </c:pt>
                <c:pt idx="7">
                  <c:v>239.808468</c:v>
                </c:pt>
                <c:pt idx="8">
                  <c:v>249.250902</c:v>
                </c:pt>
                <c:pt idx="9">
                  <c:v>257.971976</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'[22年公报图表四五六部分 0915.xlsx]第六部分-建成区绿地面积'!$A$5:$A$14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0915.xlsx]第六部分-建成区绿地面积'!$D$5:$D$14</c:f>
              <c:numCache>
                <c:formatCode>0.00%</c:formatCode>
                <c:ptCount val="10"/>
                <c:pt idx="0">
                  <c:v>0.0514426016976102</c:v>
                </c:pt>
                <c:pt idx="1">
                  <c:v>0.0585096149092599</c:v>
                </c:pt>
                <c:pt idx="2">
                  <c:v>0.0482988926982824</c:v>
                </c:pt>
                <c:pt idx="3">
                  <c:v>0.0444066503104541</c:v>
                </c:pt>
                <c:pt idx="4">
                  <c:v>0.0534662734767144</c:v>
                </c:pt>
                <c:pt idx="5">
                  <c:v>0.0466869779080092</c:v>
                </c:pt>
                <c:pt idx="6">
                  <c:v>0.0400911357846154</c:v>
                </c:pt>
                <c:pt idx="7">
                  <c:v>0.0493950899469842</c:v>
                </c:pt>
                <c:pt idx="8">
                  <c:v>0.0393748981374586</c:v>
                </c:pt>
                <c:pt idx="9">
                  <c:v>0.0349891371707052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万公顷</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49344119794644"/>
          <c:y val="0.1415301152047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年全国分省（区、市）和新疆兵团城市建成区绿地面积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93856797473357"/>
          <c:y val="0.00888362451880367"/>
        </c:manualLayout>
      </c:layout>
      <c:overlay val="0"/>
      <c:spPr>
        <a:noFill/>
        <a:ln>
          <a:noFill/>
        </a:ln>
        <a:effectLst/>
      </c:spPr>
    </c:title>
    <c:autoTitleDeleted val="0"/>
    <c:plotArea>
      <c:layout>
        <c:manualLayout>
          <c:layoutTarget val="inner"/>
          <c:xMode val="edge"/>
          <c:yMode val="edge"/>
          <c:x val="0.0899409709673533"/>
          <c:y val="0.252385349338258"/>
          <c:w val="0.884519937356945"/>
          <c:h val="0.46580486303478"/>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'[22年公报图表四五六部分.xlsx]第六部分-建成区绿地面积'!$C$32:$C$63</c:f>
              <c:numCache>
                <c:formatCode>0.00_ </c:formatCode>
                <c:ptCount val="32"/>
                <c:pt idx="0">
                  <c:v>9.35581</c:v>
                </c:pt>
                <c:pt idx="1">
                  <c:v>4.488036</c:v>
                </c:pt>
                <c:pt idx="2">
                  <c:v>9.069779</c:v>
                </c:pt>
                <c:pt idx="3">
                  <c:v>5.197905</c:v>
                </c:pt>
                <c:pt idx="4">
                  <c:v>4.958685</c:v>
                </c:pt>
                <c:pt idx="5">
                  <c:v>10.87357</c:v>
                </c:pt>
                <c:pt idx="6">
                  <c:v>6.149374</c:v>
                </c:pt>
                <c:pt idx="7">
                  <c:v>6.250369</c:v>
                </c:pt>
                <c:pt idx="8">
                  <c:v>4.578332</c:v>
                </c:pt>
                <c:pt idx="9">
                  <c:v>19.983922</c:v>
                </c:pt>
                <c:pt idx="10">
                  <c:v>13.106161</c:v>
                </c:pt>
                <c:pt idx="11">
                  <c:v>10.287758</c:v>
                </c:pt>
                <c:pt idx="12">
                  <c:v>7.637421</c:v>
                </c:pt>
                <c:pt idx="13">
                  <c:v>7.745398</c:v>
                </c:pt>
                <c:pt idx="14">
                  <c:v>22.694656</c:v>
                </c:pt>
                <c:pt idx="15">
                  <c:v>12.505662</c:v>
                </c:pt>
                <c:pt idx="16">
                  <c:v>11.29874</c:v>
                </c:pt>
                <c:pt idx="17">
                  <c:v>8.149735</c:v>
                </c:pt>
                <c:pt idx="18">
                  <c:v>26.465869</c:v>
                </c:pt>
                <c:pt idx="19">
                  <c:v>6.669376</c:v>
                </c:pt>
                <c:pt idx="20">
                  <c:v>1.653101</c:v>
                </c:pt>
                <c:pt idx="21">
                  <c:v>6.781427</c:v>
                </c:pt>
                <c:pt idx="22">
                  <c:v>13.172392</c:v>
                </c:pt>
                <c:pt idx="23">
                  <c:v>4.798788</c:v>
                </c:pt>
                <c:pt idx="24">
                  <c:v>5.089981</c:v>
                </c:pt>
                <c:pt idx="25">
                  <c:v>0.658959</c:v>
                </c:pt>
                <c:pt idx="26">
                  <c:v>5.968057</c:v>
                </c:pt>
                <c:pt idx="27">
                  <c:v>3.202807</c:v>
                </c:pt>
                <c:pt idx="28">
                  <c:v>0.855776</c:v>
                </c:pt>
                <c:pt idx="29">
                  <c:v>1.96192</c:v>
                </c:pt>
                <c:pt idx="30">
                  <c:v>5.428024</c:v>
                </c:pt>
                <c:pt idx="31">
                  <c:v>0.934186</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万公顷</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年全国城市建成区绿地率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40226248976249"/>
          <c:y val="0.0300204150660772"/>
        </c:manualLayout>
      </c:layout>
      <c:overlay val="0"/>
      <c:spPr>
        <a:noFill/>
        <a:ln>
          <a:noFill/>
        </a:ln>
        <a:effectLst/>
      </c:spPr>
    </c:title>
    <c:autoTitleDeleted val="0"/>
    <c:plotArea>
      <c:layout>
        <c:manualLayout>
          <c:layoutTarget val="inner"/>
          <c:xMode val="edge"/>
          <c:yMode val="edge"/>
          <c:x val="0.0804804804804805"/>
          <c:y val="0.2"/>
          <c:w val="0.899453999453999"/>
          <c:h val="0.654814814814815"/>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0915.xlsx]第六部分-建成区绿地率'!$A$5:$A$14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0915.xlsx]第六部分-建成区绿地率'!$C$5:$C$14</c:f>
              <c:numCache>
                <c:formatCode>0.00%</c:formatCode>
                <c:ptCount val="10"/>
                <c:pt idx="0">
                  <c:v>0.3578</c:v>
                </c:pt>
                <c:pt idx="1">
                  <c:v>0.3629</c:v>
                </c:pt>
                <c:pt idx="2">
                  <c:v>0.3636</c:v>
                </c:pt>
                <c:pt idx="3">
                  <c:v>0.3643</c:v>
                </c:pt>
                <c:pt idx="4">
                  <c:v>0.3711</c:v>
                </c:pt>
                <c:pt idx="5">
                  <c:v>0.37344629189374</c:v>
                </c:pt>
                <c:pt idx="6">
                  <c:v>0.376280102255285</c:v>
                </c:pt>
                <c:pt idx="7">
                  <c:v>0.38243061455159</c:v>
                </c:pt>
                <c:pt idx="8">
                  <c:v>0.387</c:v>
                </c:pt>
                <c:pt idx="9">
                  <c:v>0.392861399143881</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年全国分省（区、市）和新疆兵团城市建成区绿地率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113172001843042"/>
        </c:manualLayout>
      </c:layout>
      <c:overlay val="0"/>
      <c:spPr>
        <a:noFill/>
        <a:ln>
          <a:noFill/>
        </a:ln>
        <a:effectLst/>
      </c:spPr>
    </c:title>
    <c:autoTitleDeleted val="0"/>
    <c:plotArea>
      <c:layout>
        <c:manualLayout>
          <c:layoutTarget val="inner"/>
          <c:xMode val="edge"/>
          <c:yMode val="edge"/>
          <c:x val="0.0840539083557952"/>
          <c:y val="0.255746290369508"/>
          <c:w val="0.890501347708895"/>
          <c:h val="0.472912423625255"/>
        </c:manualLayout>
      </c:layout>
      <c:barChart>
        <c:barDir val="col"/>
        <c:grouping val="clustered"/>
        <c:varyColors val="0"/>
        <c:ser>
          <c:idx val="0"/>
          <c:order val="0"/>
          <c:tx>
            <c:strRef>
              <c:f>"城市建成区绿地率"</c:f>
              <c:strCache>
                <c:ptCount val="1"/>
                <c:pt idx="0">
                  <c:v>城市建成区绿地率</c:v>
                </c:pt>
              </c:strCache>
            </c:strRef>
          </c:tx>
          <c:spPr>
            <a:solidFill>
              <a:srgbClr val="C00000"/>
            </a:solidFill>
            <a:ln>
              <a:noFill/>
            </a:ln>
            <a:effectLst/>
          </c:spPr>
          <c:invertIfNegative val="0"/>
          <c:dLbls>
            <c:dLbl>
              <c:idx val="2"/>
              <c:layout>
                <c:manualLayout>
                  <c:x val="-0.00530056619684375"/>
                  <c:y val="0.00658879904162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0713167088302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6502830984218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0397542464763282"/>
                  <c:y val="0.00329439952081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0.00662570774605469"/>
                  <c:y val="-0.00658879904162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'[22年公报图表四五六部分.xlsx]第六部分-建成区绿地率'!$B$22:$B$53</c:f>
              <c:numCache>
                <c:formatCode>#,##0.00</c:formatCode>
                <c:ptCount val="32"/>
                <c:pt idx="0">
                  <c:v>47.05</c:v>
                </c:pt>
                <c:pt idx="1">
                  <c:v>35.4936969140977</c:v>
                </c:pt>
                <c:pt idx="2">
                  <c:v>40.0085533048664</c:v>
                </c:pt>
                <c:pt idx="3">
                  <c:v>40.1357831176452</c:v>
                </c:pt>
                <c:pt idx="4">
                  <c:v>38.9588702074167</c:v>
                </c:pt>
                <c:pt idx="5">
                  <c:v>38.6268352379904</c:v>
                </c:pt>
                <c:pt idx="6">
                  <c:v>38.9200886075949</c:v>
                </c:pt>
                <c:pt idx="7">
                  <c:v>34.6751490943386</c:v>
                </c:pt>
                <c:pt idx="8">
                  <c:v>36.862576489533</c:v>
                </c:pt>
                <c:pt idx="9">
                  <c:v>40.6493713602255</c:v>
                </c:pt>
                <c:pt idx="10">
                  <c:v>38.2439429353456</c:v>
                </c:pt>
                <c:pt idx="11">
                  <c:v>41.1464236005567</c:v>
                </c:pt>
                <c:pt idx="12">
                  <c:v>40.6797571173666</c:v>
                </c:pt>
                <c:pt idx="13">
                  <c:v>43.282711834098</c:v>
                </c:pt>
                <c:pt idx="14">
                  <c:v>39.7246555656495</c:v>
                </c:pt>
                <c:pt idx="15">
                  <c:v>35.5162491373459</c:v>
                </c:pt>
                <c:pt idx="16">
                  <c:v>39.420901687961</c:v>
                </c:pt>
                <c:pt idx="17">
                  <c:v>38.7162646853429</c:v>
                </c:pt>
                <c:pt idx="18">
                  <c:v>40.2503745070575</c:v>
                </c:pt>
                <c:pt idx="19">
                  <c:v>36.8579702455954</c:v>
                </c:pt>
                <c:pt idx="20">
                  <c:v>39.4271369967563</c:v>
                </c:pt>
                <c:pt idx="21">
                  <c:v>41.3300036567528</c:v>
                </c:pt>
                <c:pt idx="22">
                  <c:v>38.6087884259151</c:v>
                </c:pt>
                <c:pt idx="23">
                  <c:v>40.1639437562772</c:v>
                </c:pt>
                <c:pt idx="24">
                  <c:v>39.5237026626185</c:v>
                </c:pt>
                <c:pt idx="25">
                  <c:v>38.6010778513268</c:v>
                </c:pt>
                <c:pt idx="26">
                  <c:v>38.4165985413676</c:v>
                </c:pt>
                <c:pt idx="27">
                  <c:v>33.0844567025112</c:v>
                </c:pt>
                <c:pt idx="28">
                  <c:v>34.2200895713372</c:v>
                </c:pt>
                <c:pt idx="29">
                  <c:v>40.3969855454433</c:v>
                </c:pt>
                <c:pt idx="30">
                  <c:v>38.0100416652078</c:v>
                </c:pt>
                <c:pt idx="31">
                  <c:v>41.2389528980709</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"全国城市建成区绿地率39.3%"</c:f>
              <c:strCache>
                <c:ptCount val="1"/>
                <c:pt idx="0">
                  <c:v>全国城市建成区绿地率39.3%</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'[22年公报图表四五六部分.xlsx]第六部分-建成区绿地率'!$D$22:$D$53</c:f>
              <c:numCache>
                <c:formatCode>#,##0.00</c:formatCode>
                <c:ptCount val="32"/>
                <c:pt idx="0">
                  <c:v>39.2861399143881</c:v>
                </c:pt>
                <c:pt idx="1">
                  <c:v>39.2861399143881</c:v>
                </c:pt>
                <c:pt idx="2">
                  <c:v>39.2861399143881</c:v>
                </c:pt>
                <c:pt idx="3">
                  <c:v>39.2861399143881</c:v>
                </c:pt>
                <c:pt idx="4">
                  <c:v>39.2861399143881</c:v>
                </c:pt>
                <c:pt idx="5">
                  <c:v>39.2861399143881</c:v>
                </c:pt>
                <c:pt idx="6">
                  <c:v>39.2861399143881</c:v>
                </c:pt>
                <c:pt idx="7">
                  <c:v>39.2861399143881</c:v>
                </c:pt>
                <c:pt idx="8">
                  <c:v>39.2861399143881</c:v>
                </c:pt>
                <c:pt idx="9">
                  <c:v>39.2861399143881</c:v>
                </c:pt>
                <c:pt idx="10">
                  <c:v>39.2861399143881</c:v>
                </c:pt>
                <c:pt idx="11">
                  <c:v>39.2861399143881</c:v>
                </c:pt>
                <c:pt idx="12">
                  <c:v>39.2861399143881</c:v>
                </c:pt>
                <c:pt idx="13">
                  <c:v>39.2861399143881</c:v>
                </c:pt>
                <c:pt idx="14">
                  <c:v>39.2861399143881</c:v>
                </c:pt>
                <c:pt idx="15">
                  <c:v>39.2861399143881</c:v>
                </c:pt>
                <c:pt idx="16">
                  <c:v>39.2861399143881</c:v>
                </c:pt>
                <c:pt idx="17">
                  <c:v>39.2861399143881</c:v>
                </c:pt>
                <c:pt idx="18">
                  <c:v>39.2861399143881</c:v>
                </c:pt>
                <c:pt idx="19">
                  <c:v>39.2861399143881</c:v>
                </c:pt>
                <c:pt idx="20">
                  <c:v>39.2861399143881</c:v>
                </c:pt>
                <c:pt idx="21">
                  <c:v>39.2861399143881</c:v>
                </c:pt>
                <c:pt idx="22">
                  <c:v>39.2861399143881</c:v>
                </c:pt>
                <c:pt idx="23">
                  <c:v>39.2861399143881</c:v>
                </c:pt>
                <c:pt idx="24">
                  <c:v>39.2861399143881</c:v>
                </c:pt>
                <c:pt idx="25">
                  <c:v>39.2861399143881</c:v>
                </c:pt>
                <c:pt idx="26">
                  <c:v>39.2861399143881</c:v>
                </c:pt>
                <c:pt idx="27">
                  <c:v>39.2861399143881</c:v>
                </c:pt>
                <c:pt idx="28">
                  <c:v>39.2861399143881</c:v>
                </c:pt>
                <c:pt idx="29">
                  <c:v>39.2861399143881</c:v>
                </c:pt>
                <c:pt idx="30">
                  <c:v>39.2861399143881</c:v>
                </c:pt>
                <c:pt idx="31">
                  <c:v>39.2861399143881</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48"/>
          <c:min val="3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6"/>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年全国城市人均公园绿地面积</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27361111111111"/>
          <c:y val="0.0102006120367222"/>
        </c:manualLayout>
      </c:layout>
      <c:overlay val="0"/>
      <c:spPr>
        <a:noFill/>
        <a:ln>
          <a:noFill/>
        </a:ln>
        <a:effectLst/>
      </c:spPr>
    </c:title>
    <c:autoTitleDeleted val="0"/>
    <c:plotArea>
      <c:layout>
        <c:manualLayout>
          <c:layoutTarget val="inner"/>
          <c:xMode val="edge"/>
          <c:yMode val="edge"/>
          <c:x val="0.0836199836199836"/>
          <c:y val="0.265990912268438"/>
          <c:w val="0.912148512148512"/>
          <c:h val="0.586648025166026"/>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'[22年公报图表四五六部分 0915.xlsx]第六部分-人均公园绿地面积'!$A$5:$A$14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'[22年公报图表四五六部分 0915.xlsx]第六部分-人均公园绿地面积'!$B$5:$B$14</c:f>
              <c:numCache>
                <c:formatCode>0.00_);[Red]\(0.00\)</c:formatCode>
                <c:ptCount val="10"/>
                <c:pt idx="0">
                  <c:v>12.64</c:v>
                </c:pt>
                <c:pt idx="1">
                  <c:v>13.08</c:v>
                </c:pt>
                <c:pt idx="2">
                  <c:v>13.35</c:v>
                </c:pt>
                <c:pt idx="3">
                  <c:v>13.7</c:v>
                </c:pt>
                <c:pt idx="4">
                  <c:v>14.01</c:v>
                </c:pt>
                <c:pt idx="5">
                  <c:v>14.11</c:v>
                </c:pt>
                <c:pt idx="6">
                  <c:v>14.3552587740349</c:v>
                </c:pt>
                <c:pt idx="7">
                  <c:v>14.7762910999958</c:v>
                </c:pt>
                <c:pt idx="8">
                  <c:v>14.87</c:v>
                </c:pt>
                <c:pt idx="9">
                  <c:v>15.2921919927752</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6"/>
          <c:min val="1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平方米</a:t>
                </a:r>
              </a:p>
            </c:rich>
          </c:tx>
          <c:layout>
            <c:manualLayout>
              <c:xMode val="edge"/>
              <c:yMode val="edge"/>
              <c:x val="0.0040950040950041"/>
              <c:y val="0.421317654918553"/>
            </c:manualLayout>
          </c:layout>
          <c:overlay val="0"/>
          <c:spPr>
            <a:noFill/>
            <a:ln>
              <a:noFill/>
            </a:ln>
            <a:effectLst/>
          </c:spPr>
        </c:title>
        <c:numFmt formatCode="General"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年全国分省（区、市）和新疆兵团城市人均公园绿地面积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40539083557952"/>
          <c:y val="0.255746290369508"/>
          <c:w val="0.890501347708895"/>
          <c:h val="0.472912423625255"/>
        </c:manualLayout>
      </c:layout>
      <c:barChart>
        <c:barDir val="col"/>
        <c:grouping val="clustered"/>
        <c:varyColors val="0"/>
        <c:ser>
          <c:idx val="0"/>
          <c:order val="0"/>
          <c:tx>
            <c:strRef>
              <c:f>"城市人均公园绿地面积"</c:f>
              <c:strCache>
                <c:ptCount val="1"/>
                <c:pt idx="0">
                  <c:v>城市人均公园绿地面积</c:v>
                </c:pt>
              </c:strCache>
            </c:strRef>
          </c:tx>
          <c:spPr>
            <a:solidFill>
              <a:srgbClr val="C00000"/>
            </a:solidFill>
            <a:ln>
              <a:noFill/>
            </a:ln>
            <a:effectLst/>
          </c:spPr>
          <c:invertIfNegative val="0"/>
          <c:dLbls>
            <c:dLbl>
              <c:idx val="0"/>
              <c:layout>
                <c:manualLayout>
                  <c:x val="0.00807131670883026"/>
                  <c:y val="-0.00375042618479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807131670883026"/>
                  <c:y val="0.00375042618479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0662570774605469"/>
                  <c:y val="-0.00375042618479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0.0039754246476328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0"/>
                  <c:y val="-0.007500852369587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'[22年公报图表四五六部分.xlsx]第六部分-人均公园绿地面积'!$B$23:$B$54</c:f>
              <c:numCache>
                <c:formatCode>#,##0.00</c:formatCode>
                <c:ptCount val="32"/>
                <c:pt idx="0">
                  <c:v>16.63</c:v>
                </c:pt>
                <c:pt idx="1">
                  <c:v>9.98221659037817</c:v>
                </c:pt>
                <c:pt idx="2">
                  <c:v>15.3537863632055</c:v>
                </c:pt>
                <c:pt idx="3">
                  <c:v>13.7172342137539</c:v>
                </c:pt>
                <c:pt idx="4">
                  <c:v>19.471210566812</c:v>
                </c:pt>
                <c:pt idx="5">
                  <c:v>13.3874538902931</c:v>
                </c:pt>
                <c:pt idx="6">
                  <c:v>14.4456957561915</c:v>
                </c:pt>
                <c:pt idx="7">
                  <c:v>14.0435395298835</c:v>
                </c:pt>
                <c:pt idx="8">
                  <c:v>9.28001647892273</c:v>
                </c:pt>
                <c:pt idx="9">
                  <c:v>16.023678856853</c:v>
                </c:pt>
                <c:pt idx="10">
                  <c:v>13.7855929052341</c:v>
                </c:pt>
                <c:pt idx="11">
                  <c:v>16.9777028858398</c:v>
                </c:pt>
                <c:pt idx="12">
                  <c:v>15.2773390177218</c:v>
                </c:pt>
                <c:pt idx="13">
                  <c:v>17.0054628648413</c:v>
                </c:pt>
                <c:pt idx="14">
                  <c:v>18.1830750762021</c:v>
                </c:pt>
                <c:pt idx="15">
                  <c:v>15.6049416388673</c:v>
                </c:pt>
                <c:pt idx="16">
                  <c:v>15.3774681796892</c:v>
                </c:pt>
                <c:pt idx="17">
                  <c:v>13.0560042497009</c:v>
                </c:pt>
                <c:pt idx="18">
                  <c:v>17.945468256444</c:v>
                </c:pt>
                <c:pt idx="19">
                  <c:v>11.6711416942139</c:v>
                </c:pt>
                <c:pt idx="20">
                  <c:v>12.2298712600906</c:v>
                </c:pt>
                <c:pt idx="21">
                  <c:v>17.629743431221</c:v>
                </c:pt>
                <c:pt idx="22">
                  <c:v>13.9903351563771</c:v>
                </c:pt>
                <c:pt idx="23">
                  <c:v>16.4111864481162</c:v>
                </c:pt>
                <c:pt idx="24">
                  <c:v>13.9416982112373</c:v>
                </c:pt>
                <c:pt idx="25">
                  <c:v>16.2276897414512</c:v>
                </c:pt>
                <c:pt idx="26">
                  <c:v>13.1504898277254</c:v>
                </c:pt>
                <c:pt idx="27">
                  <c:v>16.3623288072106</c:v>
                </c:pt>
                <c:pt idx="28">
                  <c:v>13.24315725448</c:v>
                </c:pt>
                <c:pt idx="29">
                  <c:v>22.8363501283264</c:v>
                </c:pt>
                <c:pt idx="30">
                  <c:v>14.9277848492988</c:v>
                </c:pt>
                <c:pt idx="31">
                  <c:v>26.356645254682</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"全国城市人均公园绿地面积15.29平方米"</c:f>
              <c:strCache>
                <c:ptCount val="1"/>
                <c:pt idx="0">
                  <c:v>全国城市人均公园绿地面积15.29平方米</c:v>
                </c:pt>
              </c:strCache>
            </c:strRef>
          </c:tx>
          <c:spPr>
            <a:ln w="15875" cap="rnd">
              <a:solidFill>
                <a:srgbClr val="002060"/>
              </a:solidFill>
              <a:prstDash val="dash"/>
              <a:round/>
            </a:ln>
            <a:effectLst/>
            <a:sp3d contourW="15875"/>
          </c:spPr>
          <c:marker>
            <c:symbol val="none"/>
          </c:marker>
          <c:dLbls>
            <c:delete val="1"/>
          </c:dLbls>
          <c:cat>
            <c:strRef>
              <c:f>'[22年公报图表四五六部分.xlsx]第六部分-建成区绿地面积'!$A$32:$A$63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'[22年公报图表四五六部分.xlsx]第六部分-人均公园绿地面积'!$C$23:$C$54</c:f>
              <c:numCache>
                <c:formatCode>#,##0.00</c:formatCode>
                <c:ptCount val="32"/>
                <c:pt idx="0">
                  <c:v>15.2921919927752</c:v>
                </c:pt>
                <c:pt idx="1">
                  <c:v>15.2921919927752</c:v>
                </c:pt>
                <c:pt idx="2">
                  <c:v>15.2921919927752</c:v>
                </c:pt>
                <c:pt idx="3">
                  <c:v>15.2921919927752</c:v>
                </c:pt>
                <c:pt idx="4">
                  <c:v>15.2921919927752</c:v>
                </c:pt>
                <c:pt idx="5">
                  <c:v>15.2921919927752</c:v>
                </c:pt>
                <c:pt idx="6">
                  <c:v>15.2921919927752</c:v>
                </c:pt>
                <c:pt idx="7">
                  <c:v>15.2921919927752</c:v>
                </c:pt>
                <c:pt idx="8">
                  <c:v>15.2921919927752</c:v>
                </c:pt>
                <c:pt idx="9">
                  <c:v>15.2921919927752</c:v>
                </c:pt>
                <c:pt idx="10">
                  <c:v>15.2921919927752</c:v>
                </c:pt>
                <c:pt idx="11">
                  <c:v>15.2921919927752</c:v>
                </c:pt>
                <c:pt idx="12">
                  <c:v>15.2921919927752</c:v>
                </c:pt>
                <c:pt idx="13">
                  <c:v>15.2921919927752</c:v>
                </c:pt>
                <c:pt idx="14">
                  <c:v>15.2921919927752</c:v>
                </c:pt>
                <c:pt idx="15">
                  <c:v>15.2921919927752</c:v>
                </c:pt>
                <c:pt idx="16">
                  <c:v>15.2921919927752</c:v>
                </c:pt>
                <c:pt idx="17">
                  <c:v>15.2921919927752</c:v>
                </c:pt>
                <c:pt idx="18">
                  <c:v>15.2921919927752</c:v>
                </c:pt>
                <c:pt idx="19">
                  <c:v>15.2921919927752</c:v>
                </c:pt>
                <c:pt idx="20">
                  <c:v>15.2921919927752</c:v>
                </c:pt>
                <c:pt idx="21">
                  <c:v>15.2921919927752</c:v>
                </c:pt>
                <c:pt idx="22">
                  <c:v>15.2921919927752</c:v>
                </c:pt>
                <c:pt idx="23">
                  <c:v>15.2921919927752</c:v>
                </c:pt>
                <c:pt idx="24">
                  <c:v>15.2921919927752</c:v>
                </c:pt>
                <c:pt idx="25">
                  <c:v>15.2921919927752</c:v>
                </c:pt>
                <c:pt idx="26">
                  <c:v>15.2921919927752</c:v>
                </c:pt>
                <c:pt idx="27">
                  <c:v>15.2921919927752</c:v>
                </c:pt>
                <c:pt idx="28">
                  <c:v>15.2921919927752</c:v>
                </c:pt>
                <c:pt idx="29">
                  <c:v>15.2921919927752</c:v>
                </c:pt>
                <c:pt idx="30">
                  <c:v>15.2921919927752</c:v>
                </c:pt>
                <c:pt idx="31">
                  <c:v>15.2921919927752</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0"/>
          <c:min val="5"/>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平方米</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年全国市政设施固定资产投资及同比变化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87412008649147"/>
          <c:y val="0.00958772770853308"/>
        </c:manualLayout>
      </c:layout>
      <c:overlay val="0"/>
      <c:spPr>
        <a:noFill/>
        <a:ln>
          <a:noFill/>
        </a:ln>
        <a:effectLst/>
      </c:spPr>
    </c:title>
    <c:autoTitleDeleted val="0"/>
    <c:plotArea>
      <c:layout>
        <c:manualLayout>
          <c:layoutTarget val="inner"/>
          <c:xMode val="edge"/>
          <c:yMode val="edge"/>
          <c:x val="0.0633530106257379"/>
          <c:y val="0.194311281559604"/>
          <c:w val="0.837638724911452"/>
          <c:h val="0.674145094279322"/>
        </c:manualLayout>
      </c:layout>
      <c:barChart>
        <c:barDir val="col"/>
        <c:grouping val="clustered"/>
        <c:varyColors val="0"/>
        <c:ser>
          <c:idx val="1"/>
          <c:order val="0"/>
          <c:tx>
            <c:strRef>
              <c:f>"市政设施投资"</c:f>
              <c:strCache>
                <c:ptCount val="1"/>
                <c:pt idx="0">
                  <c:v>市政设施投资</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'[22公报数据-前三部分0915.xlsx]市政投资'!$A$5:$A$14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'[22公报数据-前三部分0915.xlsx]市政投资'!$D$5:$D$14</c:f>
              <c:numCache>
                <c:formatCode>0.00_ </c:formatCode>
                <c:ptCount val="10"/>
                <c:pt idx="0">
                  <c:v>2.01834</c:v>
                </c:pt>
                <c:pt idx="1">
                  <c:v>1.98179467</c:v>
                </c:pt>
                <c:pt idx="2">
                  <c:v>1.93042546</c:v>
                </c:pt>
                <c:pt idx="3">
                  <c:v>2.0854515161</c:v>
                </c:pt>
                <c:pt idx="4">
                  <c:v>2.29617956</c:v>
                </c:pt>
                <c:pt idx="5">
                  <c:v>2.3149144582</c:v>
                </c:pt>
                <c:pt idx="6">
                  <c:v>2.3203031012</c:v>
                </c:pt>
                <c:pt idx="7">
                  <c:v>2.61682123545591</c:v>
                </c:pt>
                <c:pt idx="8">
                  <c:v>2.74588662</c:v>
                </c:pt>
                <c:pt idx="9">
                  <c:v>2.660061738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'[22公报数据-前三部分0915.xlsx]市政投资'!$A$5:$A$14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'[22公报数据-前三部分0915.xlsx]市政投资'!$E$5:$E$14</c:f>
              <c:numCache>
                <c:formatCode>0.00%</c:formatCode>
                <c:ptCount val="10"/>
                <c:pt idx="0">
                  <c:v>0.0467971225708075</c:v>
                </c:pt>
                <c:pt idx="1">
                  <c:v>-0.0181066272283162</c:v>
                </c:pt>
                <c:pt idx="2">
                  <c:v>-0.025920551093217</c:v>
                </c:pt>
                <c:pt idx="3">
                  <c:v>0.0803066781454489</c:v>
                </c:pt>
                <c:pt idx="4">
                  <c:v>0.101046724065819</c:v>
                </c:pt>
                <c:pt idx="5">
                  <c:v>0.00815916077573653</c:v>
                </c:pt>
                <c:pt idx="6">
                  <c:v>0.00232779357393187</c:v>
                </c:pt>
                <c:pt idx="7">
                  <c:v>0.127792844866931</c:v>
                </c:pt>
                <c:pt idx="8">
                  <c:v>0.0493214373207285</c:v>
                </c:pt>
                <c:pt idx="9">
                  <c:v>-0.0312557996294835</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万亿元</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8681879361791"/>
          <c:y val="0.1148377291711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年全国市政设施固定资产投资构成情况</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412314824606"/>
          <c:y val="0.00799334394835779"/>
        </c:manualLayout>
      </c:layout>
      <c:overlay val="0"/>
      <c:spPr>
        <a:noFill/>
        <a:ln>
          <a:noFill/>
        </a:ln>
        <a:effectLst/>
      </c:spPr>
    </c:title>
    <c:autoTitleDeleted val="0"/>
    <c:plotArea>
      <c:layout>
        <c:manualLayout>
          <c:layoutTarget val="inner"/>
          <c:xMode val="edge"/>
          <c:yMode val="edge"/>
          <c:x val="0.222816744838636"/>
          <c:y val="0.184627575277338"/>
          <c:w val="0.426055359011189"/>
          <c:h val="0.653177976106892"/>
        </c:manualLayout>
      </c:layout>
      <c:pieChart>
        <c:varyColors val="1"/>
        <c:ser>
          <c:idx val="0"/>
          <c:order val="0"/>
          <c:spPr>
            <a:solidFill>
              <a:srgbClr val="EBF5F9"/>
            </a:solidFill>
            <a:ln w="3175">
              <a:solidFill>
                <a:schemeClr val="tx1"/>
              </a:solidFill>
            </a:ln>
          </c:spPr>
          <c:explosion val="0"/>
          <c:dPt>
            <c:idx val="0"/>
            <c:bubble3D val="0"/>
            <c:spPr>
              <a:solidFill>
                <a:srgbClr val="C5E0B4"/>
              </a:solidFill>
              <a:ln w="3175">
                <a:solidFill>
                  <a:schemeClr val="tx1"/>
                </a:solidFill>
              </a:ln>
              <a:effectLst/>
            </c:spPr>
          </c:dPt>
          <c:dPt>
            <c:idx val="1"/>
            <c:bubble3D val="0"/>
            <c:spPr>
              <a:solidFill>
                <a:srgbClr val="385723"/>
              </a:solidFill>
              <a:ln w="3175">
                <a:solidFill>
                  <a:schemeClr val="tx1"/>
                </a:solidFill>
              </a:ln>
              <a:effectLst/>
            </c:spPr>
          </c:dPt>
          <c:dPt>
            <c:idx val="2"/>
            <c:bubble3D val="0"/>
            <c:spPr>
              <a:solidFill>
                <a:srgbClr val="E2F0D9"/>
              </a:solidFill>
              <a:ln w="3175">
                <a:solidFill>
                  <a:schemeClr val="tx1"/>
                </a:solidFill>
              </a:ln>
              <a:effectLst/>
            </c:spPr>
          </c:dPt>
          <c:dPt>
            <c:idx val="3"/>
            <c:bubble3D val="0"/>
            <c:spPr>
              <a:solidFill>
                <a:srgbClr val="27918B"/>
              </a:solidFill>
              <a:ln w="3175">
                <a:solidFill>
                  <a:schemeClr val="tx1"/>
                </a:solidFill>
              </a:ln>
              <a:effectLst/>
            </c:spPr>
          </c:dPt>
          <c:dPt>
            <c:idx val="4"/>
            <c:bubble3D val="0"/>
            <c:spPr>
              <a:solidFill>
                <a:srgbClr val="F8CBAD"/>
              </a:solidFill>
              <a:ln w="3175">
                <a:solidFill>
                  <a:schemeClr val="tx1"/>
                </a:solidFill>
              </a:ln>
              <a:effectLst/>
            </c:spPr>
          </c:dPt>
          <c:dPt>
            <c:idx val="5"/>
            <c:bubble3D val="0"/>
            <c:spPr>
              <a:solidFill>
                <a:srgbClr val="ED7D31"/>
              </a:solidFill>
              <a:ln w="3175">
                <a:solidFill>
                  <a:schemeClr val="tx1"/>
                </a:solidFill>
              </a:ln>
              <a:effectLst/>
            </c:spPr>
          </c:dPt>
          <c:dPt>
            <c:idx val="6"/>
            <c:bubble3D val="0"/>
            <c:spPr>
              <a:solidFill>
                <a:srgbClr val="FFF2CC"/>
              </a:solidFill>
              <a:ln w="3175">
                <a:solidFill>
                  <a:schemeClr val="tx1"/>
                </a:solidFill>
              </a:ln>
              <a:effectLst/>
            </c:spPr>
          </c:dPt>
          <c:dPt>
            <c:idx val="7"/>
            <c:bubble3D val="0"/>
            <c:spPr>
              <a:solidFill>
                <a:srgbClr val="EBF5E5"/>
              </a:solidFill>
              <a:ln w="3175">
                <a:solidFill>
                  <a:schemeClr val="tx1"/>
                </a:solidFill>
              </a:ln>
              <a:effectLst/>
            </c:spPr>
          </c:dPt>
          <c:dPt>
            <c:idx val="8"/>
            <c:bubble3D val="0"/>
            <c:spPr>
              <a:solidFill>
                <a:srgbClr val="548235"/>
              </a:solidFill>
              <a:ln w="3175">
                <a:solidFill>
                  <a:schemeClr val="tx1"/>
                </a:solidFill>
              </a:ln>
              <a:effectLst/>
            </c:spPr>
          </c:dPt>
          <c:dPt>
            <c:idx val="9"/>
            <c:bubble3D val="0"/>
            <c:spPr>
              <a:solidFill>
                <a:srgbClr val="A2E6E3"/>
              </a:solidFill>
              <a:ln w="3175">
                <a:solidFill>
                  <a:schemeClr val="tx1"/>
                </a:solidFill>
              </a:ln>
              <a:effectLst/>
            </c:spPr>
          </c:dPt>
          <c:dLbls>
            <c:dLbl>
              <c:idx val="0"/>
              <c:layout>
                <c:manualLayout>
                  <c:x val="0.105611117255949"/>
                  <c:y val="-0.017412633638348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3198671929557"/>
                      <c:h val="0.152576278143683"/>
                    </c:manualLayout>
                  </c15:layout>
                </c:ext>
              </c:extLst>
            </c:dLbl>
            <c:dLbl>
              <c:idx val="1"/>
              <c:layout>
                <c:manualLayout>
                  <c:x val="0.0833015365222643"/>
                  <c:y val="0.1015394897820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04083796771395"/>
                  <c:y val="0.076418423394176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4370951937101"/>
                  <c:y val="-0.022671286885619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202955493889173"/>
                  <c:y val="-0.016438525012283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766524797259"/>
                      <c:h val="0.143904945185288"/>
                    </c:manualLayout>
                  </c15:layout>
                </c:ext>
              </c:extLst>
            </c:dLbl>
            <c:dLbl>
              <c:idx val="5"/>
              <c:layout>
                <c:manualLayout>
                  <c:x val="-0.0303362999684351"/>
                  <c:y val="0.054294215388642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18237971391417"/>
                      <c:h val="0.178137651821862"/>
                    </c:manualLayout>
                  </c15:layout>
                </c:ext>
              </c:extLst>
            </c:dLbl>
            <c:dLbl>
              <c:idx val="6"/>
              <c:layout>
                <c:manualLayout>
                  <c:x val="0.144136803002555"/>
                  <c:y val="-0.01193972624200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79299586447769"/>
                  <c:y val="-0.044418049413510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64265910020212"/>
                  <c:y val="0.0091978741260595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3250833840022"/>
                      <c:h val="0.187466580669323"/>
                    </c:manualLayout>
                  </c15:layout>
                </c:ext>
              </c:extLst>
            </c:dLbl>
            <c:dLbl>
              <c:idx val="9"/>
              <c:layout>
                <c:manualLayout>
                  <c:x val="0.104920313809982"/>
                  <c:y val="-0.016117231250649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'[22公报数据-前三部分.xlsx]市政投资'!$C$67:$L$68</c:f>
              <c:multiLvlStrCache>
                <c:ptCount val="10"/>
                <c:lvl/>
                <c:lvl>
                  <c:pt idx="0">
                    <c:v>供水</c:v>
                  </c:pt>
                  <c:pt idx="1">
                    <c:v>燃气</c:v>
                  </c:pt>
                  <c:pt idx="2">
                    <c:v>集中供热</c:v>
                  </c:pt>
                  <c:pt idx="3">
                    <c:v>轨道交通</c:v>
                  </c:pt>
                  <c:pt idx="4">
                    <c:v>道路桥梁</c:v>
                  </c:pt>
                  <c:pt idx="5">
                    <c:v>地下综合管廊</c:v>
                  </c:pt>
                  <c:pt idx="6">
                    <c:v>排水</c:v>
                  </c:pt>
                  <c:pt idx="7">
                    <c:v>园林绿化</c:v>
                  </c:pt>
                  <c:pt idx="8">
                    <c:v>市容环境    卫生</c:v>
                  </c:pt>
                  <c:pt idx="9">
                    <c:v>其他</c:v>
                  </c:pt>
                </c:lvl>
              </c:multiLvlStrCache>
            </c:multiLvlStrRef>
          </c:cat>
          <c:val>
            <c:numRef>
              <c:f>'[22公报数据-前三部分.xlsx]市政投资'!$C$71:$L$71</c:f>
              <c:numCache>
                <c:formatCode>0_ </c:formatCode>
                <c:ptCount val="10"/>
                <c:pt idx="0">
                  <c:v>1002.7092</c:v>
                </c:pt>
                <c:pt idx="1">
                  <c:v>370.5109</c:v>
                </c:pt>
                <c:pt idx="2">
                  <c:v>517.0758</c:v>
                </c:pt>
                <c:pt idx="3">
                  <c:v>6040.4864</c:v>
                </c:pt>
                <c:pt idx="4">
                  <c:v>10226.5462</c:v>
                </c:pt>
                <c:pt idx="5">
                  <c:v>340.8441</c:v>
                </c:pt>
                <c:pt idx="6">
                  <c:v>2676.8035</c:v>
                </c:pt>
                <c:pt idx="7">
                  <c:v>1700.1551</c:v>
                </c:pt>
                <c:pt idx="8">
                  <c:v>707.46428</c:v>
                </c:pt>
                <c:pt idx="9">
                  <c:v>3018.0219</c:v>
                </c:pt>
              </c:numCache>
            </c:numRef>
          </c:val>
        </c:ser>
        <c:dLbls>
          <c:showLegendKey val="0"/>
          <c:showVal val="0"/>
          <c:showCatName val="0"/>
          <c:showSerName val="0"/>
          <c:showPercent val="0"/>
          <c:showBubbleSize val="0"/>
          <c:showLeaderLines val="1"/>
        </c:dLbls>
        <c:firstSliceAng val="127"/>
      </c:pieChart>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rPr>
              <a:t>2022</a:t>
            </a:r>
            <a:r>
              <a:rPr altLang="en-US" sz="1200">
                <a:solidFill>
                  <a:sysClr val="windowText" lastClr="000000"/>
                </a:solidFill>
              </a:rPr>
              <a:t>年全国分省（区、市）和新疆兵团市政设施固定资产投资</a:t>
            </a:r>
            <a:endParaRPr lang="en-US" altLang="zh-CN" sz="1200">
              <a:solidFill>
                <a:sysClr val="windowText" lastClr="000000"/>
              </a:solidFill>
            </a:endParaRPr>
          </a:p>
        </c:rich>
      </c:tx>
      <c:layout>
        <c:manualLayout>
          <c:xMode val="edge"/>
          <c:yMode val="edge"/>
          <c:x val="0.14472371799831"/>
          <c:y val="0.00907715582450832"/>
        </c:manualLayout>
      </c:layout>
      <c:overlay val="0"/>
      <c:spPr>
        <a:noFill/>
        <a:ln>
          <a:noFill/>
        </a:ln>
        <a:effectLst/>
      </c:spPr>
    </c:title>
    <c:autoTitleDeleted val="0"/>
    <c:plotArea>
      <c:layout>
        <c:manualLayout>
          <c:layoutTarget val="inner"/>
          <c:xMode val="edge"/>
          <c:yMode val="edge"/>
          <c:x val="0.0954824719913264"/>
          <c:y val="0.188502269288956"/>
          <c:w val="0.878978436332972"/>
          <c:h val="0.53446293494705"/>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'[22公报数据-前三部分.xlsx]市政投资'!$A$32:$A$63</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'[22公报数据-前三部分.xlsx]市政投资'!$D$32:$D$63</c:f>
              <c:numCache>
                <c:formatCode>0_ </c:formatCode>
                <c:ptCount val="32"/>
                <c:pt idx="0">
                  <c:v>1290.1497</c:v>
                </c:pt>
                <c:pt idx="1">
                  <c:v>459.0015</c:v>
                </c:pt>
                <c:pt idx="2">
                  <c:v>978.5898</c:v>
                </c:pt>
                <c:pt idx="3">
                  <c:v>530.4278</c:v>
                </c:pt>
                <c:pt idx="4">
                  <c:v>255.5684</c:v>
                </c:pt>
                <c:pt idx="5">
                  <c:v>404.5386</c:v>
                </c:pt>
                <c:pt idx="6">
                  <c:v>380.5747</c:v>
                </c:pt>
                <c:pt idx="7">
                  <c:v>278.0285</c:v>
                </c:pt>
                <c:pt idx="8">
                  <c:v>586.3849</c:v>
                </c:pt>
                <c:pt idx="9">
                  <c:v>2068.8251</c:v>
                </c:pt>
                <c:pt idx="10">
                  <c:v>2046.1625</c:v>
                </c:pt>
                <c:pt idx="11">
                  <c:v>1355.7342</c:v>
                </c:pt>
                <c:pt idx="12">
                  <c:v>823.0111</c:v>
                </c:pt>
                <c:pt idx="13">
                  <c:v>1017.289</c:v>
                </c:pt>
                <c:pt idx="14">
                  <c:v>1694.9973</c:v>
                </c:pt>
                <c:pt idx="15">
                  <c:v>997.76408</c:v>
                </c:pt>
                <c:pt idx="16">
                  <c:v>1739.4825</c:v>
                </c:pt>
                <c:pt idx="17">
                  <c:v>871.7906</c:v>
                </c:pt>
                <c:pt idx="18">
                  <c:v>1860.518</c:v>
                </c:pt>
                <c:pt idx="19">
                  <c:v>378.6561</c:v>
                </c:pt>
                <c:pt idx="20">
                  <c:v>122.7457</c:v>
                </c:pt>
                <c:pt idx="21">
                  <c:v>1258.2413</c:v>
                </c:pt>
                <c:pt idx="22">
                  <c:v>2064.7175</c:v>
                </c:pt>
                <c:pt idx="23">
                  <c:v>904.2381</c:v>
                </c:pt>
                <c:pt idx="24">
                  <c:v>371.6491</c:v>
                </c:pt>
                <c:pt idx="25">
                  <c:v>25.6154</c:v>
                </c:pt>
                <c:pt idx="26">
                  <c:v>1127.0836</c:v>
                </c:pt>
                <c:pt idx="27">
                  <c:v>318.272</c:v>
                </c:pt>
                <c:pt idx="28">
                  <c:v>42.5019</c:v>
                </c:pt>
                <c:pt idx="29">
                  <c:v>43.2895</c:v>
                </c:pt>
                <c:pt idx="30">
                  <c:v>268.5419</c:v>
                </c:pt>
                <c:pt idx="31">
                  <c:v>36.227</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t>亿元</a:t>
                </a:r>
                <a:r>
                  <a:rPr lang="en-US" altLang="zh-CN"/>
                  <a:t> </a:t>
                </a:r>
                <a:endParaRPr lang="en-US" altLang="zh-CN"/>
              </a:p>
            </c:rich>
          </c:tx>
          <c:layout>
            <c:manualLayout>
              <c:xMode val="edge"/>
              <c:yMode val="edge"/>
              <c:x val="0.00361402240693892"/>
              <c:y val="0.393555219364599"/>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2013—2022</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年市政设施实际到位资金合计及同比变化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5092815122676"/>
          <c:y val="0.00892591490627789"/>
        </c:manualLayout>
      </c:layout>
      <c:overlay val="0"/>
      <c:spPr>
        <a:noFill/>
        <a:ln>
          <a:noFill/>
        </a:ln>
        <a:effectLst/>
      </c:spPr>
    </c:title>
    <c:autoTitleDeleted val="0"/>
    <c:plotArea>
      <c:layout>
        <c:manualLayout>
          <c:layoutTarget val="inner"/>
          <c:xMode val="edge"/>
          <c:yMode val="edge"/>
          <c:x val="0.0755602149128555"/>
          <c:y val="0.216599190283401"/>
          <c:w val="0.825422618267593"/>
          <c:h val="0.664372469635628"/>
        </c:manualLayout>
      </c:layout>
      <c:barChart>
        <c:barDir val="col"/>
        <c:grouping val="clustered"/>
        <c:varyColors val="0"/>
        <c:ser>
          <c:idx val="1"/>
          <c:order val="0"/>
          <c:tx>
            <c:strRef>
              <c:f>"实际到位资金合计"</c:f>
              <c:strCache>
                <c:ptCount val="1"/>
                <c:pt idx="0">
                  <c:v>实际到位资金合计</c:v>
                </c:pt>
              </c:strCache>
            </c:strRef>
          </c:tx>
          <c:spPr>
            <a:solidFill>
              <a:srgbClr val="C00000"/>
            </a:solidFill>
            <a:ln>
              <a:noFill/>
            </a:ln>
            <a:effectLst/>
          </c:spPr>
          <c:invertIfNegative val="0"/>
          <c:dLbls>
            <c:dLbl>
              <c:idx val="6"/>
              <c:layout>
                <c:manualLayout>
                  <c:x val="-0.00288297732931464"/>
                  <c:y val="-0.01908617698091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0820886520501487"/>
                  <c:y val="-0.04061394531805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61402240693892"/>
                  <c:y val="0.0208271347813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'[22公报数据-前三部分0915.xlsx]资金来源'!$A$5:$A$14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'[22公报数据-前三部分0915.xlsx]资金来源'!$D$5:$D$14</c:f>
              <c:numCache>
                <c:formatCode>0.00_ </c:formatCode>
                <c:ptCount val="10"/>
                <c:pt idx="0">
                  <c:v>1.98049</c:v>
                </c:pt>
                <c:pt idx="1">
                  <c:v>1.97444174</c:v>
                </c:pt>
                <c:pt idx="2">
                  <c:v>1.95819066</c:v>
                </c:pt>
                <c:pt idx="3">
                  <c:v>2.05100342</c:v>
                </c:pt>
                <c:pt idx="4">
                  <c:v>2.3315525</c:v>
                </c:pt>
                <c:pt idx="5">
                  <c:v>2.2307056006</c:v>
                </c:pt>
                <c:pt idx="6">
                  <c:v>2.4339268412</c:v>
                </c:pt>
                <c:pt idx="7">
                  <c:v>2.76366577606218</c:v>
                </c:pt>
                <c:pt idx="8">
                  <c:v>3.070765315</c:v>
                </c:pt>
                <c:pt idx="9">
                  <c:v>2.674325806</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'[22公报数据-前三部分0915.xlsx]资金来源'!$A$5:$A$14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'[22公报数据-前三部分0915.xlsx]资金来源'!$E$5:$E$14</c:f>
              <c:numCache>
                <c:formatCode>0.00%</c:formatCode>
                <c:ptCount val="10"/>
                <c:pt idx="0">
                  <c:v>0.0340958338337189</c:v>
                </c:pt>
                <c:pt idx="1">
                  <c:v>-0.00305392099934865</c:v>
                </c:pt>
                <c:pt idx="2">
                  <c:v>-0.00823072145952508</c:v>
                </c:pt>
                <c:pt idx="3">
                  <c:v>0.0473972028852387</c:v>
                </c:pt>
                <c:pt idx="4">
                  <c:v>0.13678625655339</c:v>
                </c:pt>
                <c:pt idx="5">
                  <c:v>-0.0432531111351772</c:v>
                </c:pt>
                <c:pt idx="6">
                  <c:v>0.0911017753957937</c:v>
                </c:pt>
                <c:pt idx="7">
                  <c:v>0.135476107695829</c:v>
                </c:pt>
                <c:pt idx="8">
                  <c:v>0.111120361079042</c:v>
                </c:pt>
                <c:pt idx="9">
                  <c:v>-0.129101207136697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万亿元</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4874242854439"/>
          <c:y val="0.1194322533650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200">
                <a:latin typeface="+mn-ea"/>
                <a:cs typeface="+mn-ea"/>
              </a:rPr>
              <a:t>2022</a:t>
            </a:r>
            <a:r>
              <a:rPr altLang="en-US" sz="1200">
                <a:latin typeface="+mn-ea"/>
                <a:cs typeface="+mn-ea"/>
              </a:rPr>
              <a:t>年全国市政设施实际到位资金来源占比</a:t>
            </a:r>
            <a:r>
              <a:rPr altLang="en-US" sz="1200"/>
              <a:t>情况</a:t>
            </a:r>
            <a:endParaRPr lang="en-US" altLang="en-US" sz="1200"/>
          </a:p>
        </c:rich>
      </c:tx>
      <c:layout>
        <c:manualLayout>
          <c:xMode val="edge"/>
          <c:yMode val="edge"/>
          <c:x val="0.0917712284797195"/>
          <c:y val="0.00800640512409928"/>
        </c:manualLayout>
      </c:layout>
      <c:overlay val="0"/>
      <c:spPr>
        <a:noFill/>
        <a:ln>
          <a:noFill/>
        </a:ln>
        <a:effectLst/>
      </c:spPr>
    </c:title>
    <c:autoTitleDeleted val="0"/>
    <c:plotArea>
      <c:layout>
        <c:manualLayout>
          <c:layoutTarget val="inner"/>
          <c:xMode val="edge"/>
          <c:yMode val="edge"/>
          <c:x val="0.0749644453839866"/>
          <c:y val="0.135763034653347"/>
          <c:w val="0.689688212360375"/>
          <c:h val="0.702206715302007"/>
        </c:manualLayout>
      </c:layout>
      <c:pieChart>
        <c:varyColors val="1"/>
        <c:ser>
          <c:idx val="0"/>
          <c:order val="0"/>
          <c:spPr>
            <a:solidFill>
              <a:srgbClr val="EBF5F9"/>
            </a:solidFill>
            <a:ln w="3175">
              <a:solidFill>
                <a:schemeClr val="tx1"/>
              </a:solidFill>
            </a:ln>
          </c:spPr>
          <c:explosion val="0"/>
          <c:dPt>
            <c:idx val="0"/>
            <c:bubble3D val="0"/>
            <c:spPr>
              <a:solidFill>
                <a:srgbClr val="C5E0B4"/>
              </a:solidFill>
              <a:ln w="3175">
                <a:solidFill>
                  <a:schemeClr val="tx1"/>
                </a:solidFill>
              </a:ln>
              <a:effectLst/>
            </c:spPr>
          </c:dPt>
          <c:dPt>
            <c:idx val="1"/>
            <c:bubble3D val="0"/>
            <c:spPr>
              <a:solidFill>
                <a:srgbClr val="385723"/>
              </a:solidFill>
              <a:ln w="3175">
                <a:solidFill>
                  <a:schemeClr val="tx1"/>
                </a:solidFill>
              </a:ln>
              <a:effectLst/>
            </c:spPr>
          </c:dPt>
          <c:dPt>
            <c:idx val="2"/>
            <c:bubble3D val="0"/>
            <c:spPr>
              <a:solidFill>
                <a:srgbClr val="E2F0D9"/>
              </a:solidFill>
              <a:ln w="3175">
                <a:solidFill>
                  <a:schemeClr val="tx1"/>
                </a:solidFill>
              </a:ln>
              <a:effectLst/>
            </c:spPr>
          </c:dPt>
          <c:dPt>
            <c:idx val="3"/>
            <c:bubble3D val="0"/>
            <c:spPr>
              <a:solidFill>
                <a:srgbClr val="27918B"/>
              </a:solidFill>
              <a:ln w="3175">
                <a:solidFill>
                  <a:schemeClr val="tx1"/>
                </a:solidFill>
              </a:ln>
              <a:effectLst/>
            </c:spPr>
          </c:dPt>
          <c:dPt>
            <c:idx val="4"/>
            <c:bubble3D val="0"/>
            <c:spPr>
              <a:solidFill>
                <a:srgbClr val="F8CBAD"/>
              </a:solidFill>
              <a:ln w="3175">
                <a:solidFill>
                  <a:schemeClr val="tx1"/>
                </a:solidFill>
              </a:ln>
              <a:effectLst/>
            </c:spPr>
          </c:dPt>
          <c:dPt>
            <c:idx val="5"/>
            <c:bubble3D val="0"/>
            <c:spPr>
              <a:solidFill>
                <a:srgbClr val="ED7D31"/>
              </a:solidFill>
              <a:ln w="3175">
                <a:solidFill>
                  <a:schemeClr val="tx1"/>
                </a:solidFill>
              </a:ln>
              <a:effectLst/>
            </c:spPr>
          </c:dPt>
          <c:dLbls>
            <c:dLbl>
              <c:idx val="0"/>
              <c:layout>
                <c:manualLayout>
                  <c:x val="0.145733673427528"/>
                  <c:y val="-0.017412633638348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7782316895244"/>
                      <c:h val="0.19028556178276"/>
                    </c:manualLayout>
                  </c15:layout>
                </c:ext>
              </c:extLst>
            </c:dLbl>
            <c:dLbl>
              <c:idx val="1"/>
              <c:layout>
                <c:manualLayout>
                  <c:x val="0.0251552880614855"/>
                  <c:y val="0.061913738532559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36924809688278"/>
                  <c:y val="0.039145241352283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38851538649145"/>
                  <c:y val="0.0018341038922349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34973109937502"/>
                  <c:y val="0.1032826261008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766524797259"/>
                      <c:h val="0.143904945185288"/>
                    </c:manualLayout>
                  </c15:layout>
                </c:ext>
              </c:extLst>
            </c:dLbl>
            <c:dLbl>
              <c:idx val="5"/>
              <c:layout>
                <c:manualLayout>
                  <c:x val="-0.0653426994384798"/>
                  <c:y val="-0.02817511530897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18237971391417"/>
                      <c:h val="0.178137651821862"/>
                    </c:manualLayout>
                  </c15:layout>
                </c:ext>
              </c:extLst>
            </c:dLbl>
            <c:numFmt formatCode="0.0%" sourceLinked="0"/>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Times New Roman" panose="02020603050405020304" charset="0"/>
                  </a:defRPr>
                </a:pPr>
              </a:p>
            </c:txPr>
            <c:dLblPos val="bestFit"/>
            <c:showLegendKey val="0"/>
            <c:showVal val="0"/>
            <c:showCatName val="1"/>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'[22公报数据-前三部分(1).xlsx]资金来源'!$E$68:$J$68</c:f>
              <c:strCache>
                <c:ptCount val="6"/>
                <c:pt idx="0">
                  <c:v>国家预算
资金</c:v>
                </c:pt>
                <c:pt idx="1">
                  <c:v>国内贷款</c:v>
                </c:pt>
                <c:pt idx="2">
                  <c:v>债券</c:v>
                </c:pt>
                <c:pt idx="3">
                  <c:v>利用外资</c:v>
                </c:pt>
                <c:pt idx="4">
                  <c:v>自筹资金</c:v>
                </c:pt>
                <c:pt idx="5">
                  <c:v>其他资金</c:v>
                </c:pt>
              </c:strCache>
            </c:strRef>
          </c:cat>
          <c:val>
            <c:numRef>
              <c:f>'[22公报数据-前三部分(1).xlsx]资金来源'!$E$71:$J$71</c:f>
              <c:numCache>
                <c:formatCode>General</c:formatCode>
                <c:ptCount val="6"/>
                <c:pt idx="0">
                  <c:v>7358.91568</c:v>
                </c:pt>
                <c:pt idx="1">
                  <c:v>3063.7446</c:v>
                </c:pt>
                <c:pt idx="2">
                  <c:v>2434.164</c:v>
                </c:pt>
                <c:pt idx="3">
                  <c:v>73.1907</c:v>
                </c:pt>
                <c:pt idx="4">
                  <c:v>6553.40458</c:v>
                </c:pt>
                <c:pt idx="5">
                  <c:v>4956.3705</c:v>
                </c:pt>
              </c:numCache>
            </c:numRef>
          </c:val>
        </c:ser>
        <c:dLbls>
          <c:showLegendKey val="0"/>
          <c:showVal val="0"/>
          <c:showCatName val="0"/>
          <c:showSerName val="0"/>
          <c:showPercent val="0"/>
          <c:showBubbleSize val="0"/>
          <c:showLeaderLines val="1"/>
        </c:dLbls>
        <c:firstSliceAng val="127"/>
      </c:pieChart>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6163</Words>
  <Characters>7005</Characters>
  <Lines>0</Lines>
  <Paragraphs>0</Paragraphs>
  <TotalTime>109</TotalTime>
  <ScaleCrop>false</ScaleCrop>
  <LinksUpToDate>false</LinksUpToDate>
  <CharactersWithSpaces>7076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2022-08-29T05:36:00Z</dcterms:created>
  <dc:creator>86135</dc:creator>
  <cp:lastModifiedBy>や這個娘們，狠敗傢</cp:lastModifiedBy>
  <cp:lastPrinted>2023-09-20T08:37:00Z</cp:lastPrinted>
  <dcterms:modified xsi:type="dcterms:W3CDTF">2023-10-27T02:30:14Z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8D033138C4834AE6AD0B48AD49C31175_13</vt:lpwstr>
  </property>
</Properties>
</file>